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</w:p>
    <w:p>
      <w:pPr>
        <w:pStyle w:val="3"/>
        <w:spacing w:before="0" w:beforeLines="0" w:beforeAutospacing="0" w:after="0" w:afterLines="0" w:afterAutospacing="0" w:line="3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</w:pPr>
    </w:p>
    <w:p>
      <w:pPr>
        <w:spacing w:beforeAutospacing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u w:val="none"/>
          <w:lang w:eastAsia="zh-CN"/>
        </w:rPr>
        <w:t>“拔尖”（科技创新领军）人才推荐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u w:val="none"/>
        </w:rPr>
        <w:t>名额</w:t>
      </w:r>
    </w:p>
    <w:bookmarkEnd w:id="0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097"/>
        <w:gridCol w:w="914"/>
        <w:gridCol w:w="5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4052" w:type="dxa"/>
            <w:gridSpan w:val="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推荐单位</w:t>
            </w:r>
          </w:p>
        </w:tc>
        <w:tc>
          <w:tcPr>
            <w:tcW w:w="5011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限额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数量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28"/>
                <w:szCs w:val="28"/>
                <w:u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2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  <w:t>长沙市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3+2（产业集群）=5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2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株洲市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auto"/>
                <w:spacing w:val="0"/>
                <w:kern w:val="2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+2（产业集群）=3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2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其余市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  <w:t>州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52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u w:val="none"/>
              </w:rPr>
              <w:t>国家高新区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4052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  <w:t>省直部门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卫健委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2个，其他省直部门1个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部属高校</w:t>
            </w:r>
          </w:p>
        </w:tc>
        <w:tc>
          <w:tcPr>
            <w:tcW w:w="2097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中南大学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学校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3+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5（建设学科）=8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附属医院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每家增加1个名额,总计不超过3个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3+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3（建设学科）=6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国防科技大学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3+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5（建设学科）=8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0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省属“双一流”高校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湖南师范大学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2+1（建设学科）=3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湘潭大学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2+1（建设学科）=3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长沙理工大学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湖南农业大学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中南林业科技大学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湖南科技大学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97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6"/>
                <w:sz w:val="28"/>
                <w:szCs w:val="28"/>
                <w:u w:val="none"/>
                <w:lang w:eastAsia="zh-CN"/>
              </w:rPr>
              <w:t>湖南中医药大学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学校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附属医院</w:t>
            </w:r>
          </w:p>
        </w:tc>
        <w:tc>
          <w:tcPr>
            <w:tcW w:w="5011" w:type="dxa"/>
            <w:noWrap w:val="0"/>
            <w:vAlign w:val="center"/>
          </w:tcPr>
          <w:p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每家增加1个名额,总计不超过2个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南华大学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学校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附属医院</w:t>
            </w:r>
          </w:p>
        </w:tc>
        <w:tc>
          <w:tcPr>
            <w:tcW w:w="5011" w:type="dxa"/>
            <w:noWrap w:val="0"/>
            <w:vAlign w:val="center"/>
          </w:tcPr>
          <w:p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每家增加1个名额,总计不超过2个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1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2"/>
                <w:u w:val="none"/>
              </w:rPr>
            </w:pPr>
          </w:p>
        </w:tc>
        <w:tc>
          <w:tcPr>
            <w:tcW w:w="20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湖南工业大学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其余非“双一流”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省属本科院校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4052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具有推荐权限的科研院所</w:t>
            </w:r>
          </w:p>
        </w:tc>
        <w:tc>
          <w:tcPr>
            <w:tcW w:w="501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</w:pPr>
    </w:p>
    <w:p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备注：高校推荐限额主要根据</w:t>
      </w:r>
      <w:r>
        <w:rPr>
          <w:rStyle w:val="9"/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湖南省第二轮“双一流”建设高校和建设学科名单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分配。同时，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对科技创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新领域属于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世界一流建设学科的高校增加1个名额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根据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begin"/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instrText xml:space="preserve"> HYPERLINK "https://baike.baidu.com/item/%E5%B7%A5%E4%BF%A1%E9%83%A8/930732?fromModule=lemma_inlink" \t "/home/greatwall/文档\\x/_blank" </w:instrTex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>工信部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fldChar w:fldCharType="end"/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公布45个国家先进制造业集群名单（长沙市、株洲市各2个集群），对我省国家先进制造业集群增加推荐名额，每个集群增加1个名额。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增加名额只能在世界一流建设学科或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auto"/>
          <w:lang w:val="en-US" w:eastAsia="zh-CN" w:bidi="ar"/>
        </w:rPr>
        <w:t>国家先进制造业集群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相关科技创新企业内推荐，并在推荐函中注明。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D9EE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2023-03-29T15:56:30Z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