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4</w:t>
      </w:r>
    </w:p>
    <w:p>
      <w:pPr>
        <w:pStyle w:val="4"/>
        <w:spacing w:beforeLines="0" w:after="0" w:afterLines="0" w:line="240" w:lineRule="exact"/>
        <w:rPr>
          <w:rFonts w:hint="eastAsia" w:ascii="等线" w:hAnsi="等线" w:eastAsia="等线" w:cs="Times New Roman"/>
          <w:color w:val="auto"/>
          <w:kern w:val="2"/>
          <w:sz w:val="21"/>
          <w:szCs w:val="24"/>
          <w:u w:val="none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7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40"/>
          <w:szCs w:val="40"/>
          <w:u w:val="none"/>
          <w:lang w:val="en-US" w:eastAsia="zh-CN" w:bidi="ar"/>
        </w:rPr>
        <w:t>湖南省第二轮“双一流”建设高校和建设学科名单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一、世界一流建设学科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中南大学：数学、材料科学与工程、冶金工程、矿业工程、交通运输工程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湖南大学：化学、机械工程、电气工程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国防科技大学：信息与通信工程、计算机科学与技术、航空宇航科学与技术、软件工程、管理科学与工程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湖南师范大学：外国语言文学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湘潭大学：数学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二、世界一流培育学科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中南大学：机械工程、土木工程、临床医学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湖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u w:val="none"/>
        </w:rPr>
        <w:t>南大学：材料科学与工程、控制科学与工程、计算机科学与技术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/>
        </w:rPr>
        <w:t>防科技大学：大气科学、光学工程、电子科学与技术、控制科学与工程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湖南师范大学：哲学、生物学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湘潭大学：马克思主义理论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长沙理工大学：交通运输工程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湖南农业大学：作物学、园艺学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中南林业科技大学：林业工程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湖南中医药大学：中医学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南华大学：核科学与技术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湖南科技大学：机械工程</w:t>
      </w:r>
    </w:p>
    <w:p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湖南工业大学：材料科学与工程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D5BCF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dcterms:modified xsi:type="dcterms:W3CDTF">2023-03-29T16:00:20Z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