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00F780">
      <w:pPr>
        <w:spacing w:before="193" w:line="219" w:lineRule="auto"/>
        <w:jc w:val="center"/>
        <w:rPr>
          <w:rFonts w:ascii="黑体" w:hAnsi="黑体" w:eastAsia="黑体" w:cs="黑体"/>
          <w:spacing w:val="-4"/>
          <w:sz w:val="52"/>
          <w:szCs w:val="52"/>
        </w:rPr>
      </w:pPr>
    </w:p>
    <w:p w14:paraId="286B12B7">
      <w:pPr>
        <w:spacing w:before="193" w:line="219" w:lineRule="auto"/>
        <w:jc w:val="center"/>
        <w:rPr>
          <w:rFonts w:ascii="黑体" w:hAnsi="黑体" w:eastAsia="黑体" w:cs="黑体"/>
          <w:sz w:val="52"/>
          <w:szCs w:val="52"/>
        </w:rPr>
      </w:pPr>
      <w:r>
        <w:rPr>
          <w:rFonts w:ascii="黑体" w:hAnsi="黑体" w:eastAsia="黑体" w:cs="黑体"/>
          <w:spacing w:val="-4"/>
          <w:sz w:val="52"/>
          <w:szCs w:val="52"/>
        </w:rPr>
        <w:t>中华人民共和国供销合作行业标准</w:t>
      </w:r>
    </w:p>
    <w:p w14:paraId="58C0686E">
      <w:pPr>
        <w:pStyle w:val="5"/>
        <w:spacing w:line="244" w:lineRule="auto"/>
      </w:pPr>
    </w:p>
    <w:p w14:paraId="4EA83C47">
      <w:pPr>
        <w:pStyle w:val="5"/>
        <w:spacing w:line="244" w:lineRule="auto"/>
      </w:pPr>
    </w:p>
    <w:p w14:paraId="13D99A52">
      <w:pPr>
        <w:pStyle w:val="5"/>
        <w:spacing w:line="245" w:lineRule="auto"/>
      </w:pPr>
    </w:p>
    <w:p w14:paraId="7FE5204C">
      <w:pPr>
        <w:spacing w:before="130" w:line="216" w:lineRule="auto"/>
        <w:jc w:val="center"/>
        <w:outlineLvl w:val="0"/>
        <w:rPr>
          <w:rFonts w:hint="eastAsia" w:ascii="黑体" w:hAnsi="黑体" w:eastAsia="黑体" w:cs="黑体"/>
          <w:spacing w:val="-2"/>
          <w:sz w:val="40"/>
          <w:szCs w:val="40"/>
          <w:lang w:eastAsia="zh-CN"/>
        </w:rPr>
      </w:pPr>
      <w:bookmarkStart w:id="0" w:name="_Toc20721"/>
      <w:r>
        <w:rPr>
          <w:rFonts w:hint="eastAsia" w:ascii="黑体" w:hAnsi="黑体" w:eastAsia="黑体" w:cs="黑体"/>
          <w:spacing w:val="-2"/>
          <w:sz w:val="40"/>
          <w:szCs w:val="40"/>
          <w:lang w:val="en-US" w:eastAsia="zh-CN"/>
        </w:rPr>
        <w:t>《蛹虫草多糖生产</w:t>
      </w:r>
      <w:r>
        <w:rPr>
          <w:rFonts w:ascii="黑体" w:hAnsi="黑体" w:eastAsia="黑体" w:cs="黑体"/>
          <w:spacing w:val="-2"/>
          <w:sz w:val="40"/>
          <w:szCs w:val="40"/>
        </w:rPr>
        <w:t>技术规程</w:t>
      </w:r>
      <w:bookmarkEnd w:id="0"/>
      <w:r>
        <w:rPr>
          <w:rFonts w:hint="eastAsia" w:ascii="黑体" w:hAnsi="黑体" w:eastAsia="黑体" w:cs="黑体"/>
          <w:spacing w:val="-2"/>
          <w:sz w:val="40"/>
          <w:szCs w:val="40"/>
          <w:lang w:eastAsia="zh-CN"/>
        </w:rPr>
        <w:t>》</w:t>
      </w:r>
    </w:p>
    <w:p w14:paraId="39BE926C">
      <w:pPr>
        <w:spacing w:before="130" w:line="216" w:lineRule="auto"/>
        <w:jc w:val="center"/>
        <w:outlineLvl w:val="0"/>
        <w:rPr>
          <w:rFonts w:ascii="黑体" w:hAnsi="黑体" w:eastAsia="黑体" w:cs="黑体"/>
          <w:sz w:val="31"/>
          <w:szCs w:val="31"/>
        </w:rPr>
      </w:pPr>
      <w:bookmarkStart w:id="1" w:name="_Toc5132"/>
      <w:r>
        <w:rPr>
          <w:rFonts w:ascii="黑体" w:hAnsi="黑体" w:eastAsia="黑体" w:cs="黑体"/>
          <w:spacing w:val="-3"/>
          <w:sz w:val="31"/>
          <w:szCs w:val="31"/>
        </w:rPr>
        <w:t>编</w:t>
      </w:r>
      <w:r>
        <w:rPr>
          <w:rFonts w:ascii="黑体" w:hAnsi="黑体" w:eastAsia="黑体" w:cs="黑体"/>
          <w:spacing w:val="16"/>
          <w:sz w:val="31"/>
          <w:szCs w:val="31"/>
        </w:rPr>
        <w:t xml:space="preserve"> </w:t>
      </w:r>
      <w:r>
        <w:rPr>
          <w:rFonts w:ascii="黑体" w:hAnsi="黑体" w:eastAsia="黑体" w:cs="黑体"/>
          <w:spacing w:val="-3"/>
          <w:sz w:val="31"/>
          <w:szCs w:val="31"/>
        </w:rPr>
        <w:t>制</w:t>
      </w:r>
      <w:r>
        <w:rPr>
          <w:rFonts w:ascii="黑体" w:hAnsi="黑体" w:eastAsia="黑体" w:cs="黑体"/>
          <w:spacing w:val="24"/>
          <w:sz w:val="31"/>
          <w:szCs w:val="31"/>
        </w:rPr>
        <w:t xml:space="preserve"> </w:t>
      </w:r>
      <w:r>
        <w:rPr>
          <w:rFonts w:ascii="黑体" w:hAnsi="黑体" w:eastAsia="黑体" w:cs="黑体"/>
          <w:spacing w:val="-3"/>
          <w:sz w:val="31"/>
          <w:szCs w:val="31"/>
        </w:rPr>
        <w:t>说</w:t>
      </w:r>
      <w:r>
        <w:rPr>
          <w:rFonts w:ascii="黑体" w:hAnsi="黑体" w:eastAsia="黑体" w:cs="黑体"/>
          <w:spacing w:val="33"/>
          <w:sz w:val="31"/>
          <w:szCs w:val="31"/>
        </w:rPr>
        <w:t xml:space="preserve"> </w:t>
      </w:r>
      <w:r>
        <w:rPr>
          <w:rFonts w:ascii="黑体" w:hAnsi="黑体" w:eastAsia="黑体" w:cs="黑体"/>
          <w:spacing w:val="-3"/>
          <w:sz w:val="31"/>
          <w:szCs w:val="31"/>
        </w:rPr>
        <w:t>明</w:t>
      </w:r>
      <w:bookmarkEnd w:id="1"/>
    </w:p>
    <w:p w14:paraId="653DA80E">
      <w:pPr>
        <w:pStyle w:val="5"/>
        <w:spacing w:line="243" w:lineRule="auto"/>
      </w:pPr>
    </w:p>
    <w:p w14:paraId="3FFD0687">
      <w:pPr>
        <w:pStyle w:val="5"/>
        <w:spacing w:line="243" w:lineRule="auto"/>
      </w:pPr>
    </w:p>
    <w:p w14:paraId="0517FB96">
      <w:pPr>
        <w:pStyle w:val="5"/>
        <w:spacing w:line="243" w:lineRule="auto"/>
      </w:pPr>
    </w:p>
    <w:p w14:paraId="463D1488">
      <w:pPr>
        <w:pStyle w:val="5"/>
        <w:spacing w:line="244" w:lineRule="auto"/>
      </w:pPr>
    </w:p>
    <w:p w14:paraId="08C5BA6E">
      <w:pPr>
        <w:pStyle w:val="5"/>
        <w:spacing w:line="244" w:lineRule="auto"/>
      </w:pPr>
    </w:p>
    <w:p w14:paraId="7279A7C5">
      <w:pPr>
        <w:pStyle w:val="5"/>
        <w:spacing w:line="244" w:lineRule="auto"/>
      </w:pPr>
    </w:p>
    <w:p w14:paraId="27539008">
      <w:pPr>
        <w:pStyle w:val="5"/>
        <w:spacing w:line="244" w:lineRule="auto"/>
      </w:pPr>
    </w:p>
    <w:p w14:paraId="66B4C91D">
      <w:pPr>
        <w:pStyle w:val="5"/>
        <w:spacing w:line="244" w:lineRule="auto"/>
      </w:pPr>
    </w:p>
    <w:p w14:paraId="15943A1A">
      <w:pPr>
        <w:pStyle w:val="5"/>
        <w:spacing w:line="244" w:lineRule="auto"/>
      </w:pPr>
    </w:p>
    <w:p w14:paraId="131F52FD">
      <w:pPr>
        <w:pStyle w:val="5"/>
        <w:spacing w:line="244" w:lineRule="auto"/>
      </w:pPr>
    </w:p>
    <w:p w14:paraId="157A6B43">
      <w:pPr>
        <w:pStyle w:val="5"/>
        <w:spacing w:line="244" w:lineRule="auto"/>
      </w:pPr>
    </w:p>
    <w:p w14:paraId="2DFA6A72">
      <w:pPr>
        <w:pStyle w:val="5"/>
        <w:spacing w:line="244" w:lineRule="auto"/>
      </w:pPr>
    </w:p>
    <w:p w14:paraId="7A38E8A5">
      <w:pPr>
        <w:pStyle w:val="5"/>
        <w:spacing w:line="244" w:lineRule="auto"/>
      </w:pPr>
    </w:p>
    <w:p w14:paraId="0BE725F1">
      <w:pPr>
        <w:pStyle w:val="5"/>
        <w:spacing w:line="244" w:lineRule="auto"/>
      </w:pPr>
    </w:p>
    <w:p w14:paraId="4DB95A66">
      <w:pPr>
        <w:pStyle w:val="5"/>
        <w:spacing w:line="244" w:lineRule="auto"/>
      </w:pPr>
    </w:p>
    <w:p w14:paraId="35DBFA57">
      <w:pPr>
        <w:pStyle w:val="5"/>
        <w:spacing w:line="244" w:lineRule="auto"/>
      </w:pPr>
    </w:p>
    <w:p w14:paraId="2D63F63B">
      <w:pPr>
        <w:pStyle w:val="5"/>
        <w:spacing w:line="244" w:lineRule="auto"/>
      </w:pPr>
    </w:p>
    <w:p w14:paraId="21D5C686">
      <w:pPr>
        <w:pStyle w:val="5"/>
        <w:spacing w:line="244" w:lineRule="auto"/>
      </w:pPr>
    </w:p>
    <w:p w14:paraId="2845C9B5">
      <w:pPr>
        <w:pStyle w:val="5"/>
        <w:spacing w:line="244" w:lineRule="auto"/>
      </w:pPr>
    </w:p>
    <w:p w14:paraId="0F72B20C">
      <w:pPr>
        <w:pStyle w:val="5"/>
        <w:spacing w:line="244" w:lineRule="auto"/>
      </w:pPr>
    </w:p>
    <w:p w14:paraId="00E3CCD2">
      <w:pPr>
        <w:pStyle w:val="5"/>
        <w:spacing w:line="244" w:lineRule="auto"/>
      </w:pPr>
    </w:p>
    <w:p w14:paraId="1163A809">
      <w:pPr>
        <w:spacing w:before="98" w:line="216" w:lineRule="auto"/>
        <w:ind w:left="1962"/>
        <w:rPr>
          <w:rFonts w:ascii="黑体" w:hAnsi="黑体" w:eastAsia="黑体" w:cs="黑体"/>
          <w:spacing w:val="-1"/>
          <w:sz w:val="30"/>
          <w:szCs w:val="30"/>
        </w:rPr>
      </w:pPr>
    </w:p>
    <w:p w14:paraId="2654B98B">
      <w:pPr>
        <w:spacing w:before="98" w:line="216" w:lineRule="auto"/>
        <w:ind w:left="1962"/>
        <w:rPr>
          <w:rFonts w:ascii="黑体" w:hAnsi="黑体" w:eastAsia="黑体" w:cs="黑体"/>
          <w:spacing w:val="-1"/>
          <w:sz w:val="30"/>
          <w:szCs w:val="30"/>
        </w:rPr>
      </w:pPr>
    </w:p>
    <w:p w14:paraId="6AF7D012">
      <w:pPr>
        <w:spacing w:before="98" w:line="216" w:lineRule="auto"/>
        <w:rPr>
          <w:rFonts w:ascii="黑体" w:hAnsi="黑体" w:eastAsia="黑体" w:cs="黑体"/>
          <w:spacing w:val="-1"/>
          <w:sz w:val="30"/>
          <w:szCs w:val="30"/>
        </w:rPr>
      </w:pPr>
    </w:p>
    <w:p w14:paraId="27AFC8DA">
      <w:pPr>
        <w:spacing w:before="98" w:line="216" w:lineRule="auto"/>
        <w:jc w:val="center"/>
        <w:rPr>
          <w:rFonts w:ascii="黑体" w:hAnsi="黑体" w:eastAsia="黑体" w:cs="黑体"/>
          <w:sz w:val="30"/>
          <w:szCs w:val="30"/>
        </w:rPr>
      </w:pPr>
      <w:r>
        <w:rPr>
          <w:rFonts w:ascii="黑体" w:hAnsi="黑体" w:eastAsia="黑体" w:cs="黑体"/>
          <w:spacing w:val="-1"/>
          <w:sz w:val="30"/>
          <w:szCs w:val="30"/>
        </w:rPr>
        <w:t>《</w:t>
      </w:r>
      <w:r>
        <w:rPr>
          <w:rFonts w:hint="eastAsia" w:ascii="黑体" w:hAnsi="黑体" w:eastAsia="黑体" w:cs="黑体"/>
          <w:spacing w:val="-1"/>
          <w:sz w:val="30"/>
          <w:szCs w:val="30"/>
          <w:lang w:val="en-US" w:eastAsia="zh-CN"/>
        </w:rPr>
        <w:t>蛹虫草多糖生产</w:t>
      </w:r>
      <w:r>
        <w:rPr>
          <w:rFonts w:ascii="黑体" w:hAnsi="黑体" w:eastAsia="黑体" w:cs="黑体"/>
          <w:spacing w:val="-1"/>
          <w:sz w:val="30"/>
          <w:szCs w:val="30"/>
        </w:rPr>
        <w:t>技术规程》标准起草组</w:t>
      </w:r>
    </w:p>
    <w:p w14:paraId="4B273DE7">
      <w:pPr>
        <w:spacing w:before="273" w:line="220" w:lineRule="auto"/>
        <w:jc w:val="center"/>
        <w:rPr>
          <w:rFonts w:ascii="黑体" w:hAnsi="黑体" w:eastAsia="黑体" w:cs="黑体"/>
          <w:spacing w:val="-4"/>
          <w:sz w:val="30"/>
          <w:szCs w:val="30"/>
        </w:rPr>
      </w:pPr>
      <w:r>
        <w:rPr>
          <w:rFonts w:ascii="黑体" w:hAnsi="黑体" w:eastAsia="黑体" w:cs="黑体"/>
          <w:spacing w:val="-4"/>
          <w:sz w:val="30"/>
          <w:szCs w:val="30"/>
        </w:rPr>
        <w:t>二</w:t>
      </w:r>
      <w:r>
        <w:rPr>
          <w:rFonts w:ascii="黑体" w:hAnsi="黑体" w:eastAsia="黑体" w:cs="黑体"/>
          <w:spacing w:val="-60"/>
          <w:sz w:val="30"/>
          <w:szCs w:val="30"/>
        </w:rPr>
        <w:t xml:space="preserve"> </w:t>
      </w:r>
      <w:r>
        <w:rPr>
          <w:rFonts w:ascii="Times New Roman" w:hAnsi="Times New Roman" w:eastAsia="Times New Roman" w:cs="Times New Roman"/>
          <w:spacing w:val="-4"/>
          <w:sz w:val="30"/>
          <w:szCs w:val="30"/>
        </w:rPr>
        <w:t xml:space="preserve">O </w:t>
      </w:r>
      <w:r>
        <w:rPr>
          <w:rFonts w:ascii="黑体" w:hAnsi="黑体" w:eastAsia="黑体" w:cs="黑体"/>
          <w:spacing w:val="-4"/>
          <w:sz w:val="30"/>
          <w:szCs w:val="30"/>
        </w:rPr>
        <w:t>二五年</w:t>
      </w:r>
      <w:r>
        <w:rPr>
          <w:rFonts w:hint="eastAsia" w:ascii="黑体" w:hAnsi="黑体" w:eastAsia="黑体" w:cs="黑体"/>
          <w:spacing w:val="-4"/>
          <w:sz w:val="30"/>
          <w:szCs w:val="30"/>
          <w:lang w:val="en-US" w:eastAsia="zh-CN"/>
        </w:rPr>
        <w:t>十一</w:t>
      </w:r>
      <w:r>
        <w:rPr>
          <w:rFonts w:ascii="黑体" w:hAnsi="黑体" w:eastAsia="黑体" w:cs="黑体"/>
          <w:spacing w:val="-4"/>
          <w:sz w:val="30"/>
          <w:szCs w:val="30"/>
        </w:rPr>
        <w:t>月</w:t>
      </w:r>
    </w:p>
    <w:p w14:paraId="315C2FFD">
      <w:pPr>
        <w:widowControl w:val="0"/>
        <w:kinsoku/>
        <w:autoSpaceDE/>
        <w:autoSpaceDN/>
        <w:adjustRightInd/>
        <w:snapToGrid/>
        <w:spacing w:line="660" w:lineRule="exact"/>
        <w:jc w:val="center"/>
        <w:textAlignment w:val="auto"/>
        <w:rPr>
          <w:rFonts w:hint="eastAsia" w:ascii="黑体" w:hAnsi="黑体" w:eastAsia="黑体" w:cs="黑体"/>
          <w:snapToGrid/>
          <w:kern w:val="2"/>
          <w:sz w:val="36"/>
          <w:szCs w:val="36"/>
          <w:lang w:val="en-US" w:eastAsia="zh-CN"/>
        </w:rPr>
      </w:pPr>
      <w:bookmarkStart w:id="2" w:name="_Toc17898"/>
    </w:p>
    <w:p w14:paraId="68B4BB42">
      <w:pPr>
        <w:widowControl w:val="0"/>
        <w:kinsoku/>
        <w:autoSpaceDE/>
        <w:autoSpaceDN/>
        <w:adjustRightInd/>
        <w:snapToGrid/>
        <w:spacing w:line="660" w:lineRule="exact"/>
        <w:jc w:val="center"/>
        <w:textAlignment w:val="auto"/>
        <w:rPr>
          <w:rFonts w:hint="eastAsia" w:ascii="黑体" w:hAnsi="黑体" w:eastAsia="黑体" w:cs="黑体"/>
          <w:snapToGrid/>
          <w:kern w:val="2"/>
          <w:sz w:val="36"/>
          <w:szCs w:val="36"/>
          <w:lang w:val="en-US" w:eastAsia="zh-CN"/>
        </w:rPr>
      </w:pPr>
    </w:p>
    <w:p w14:paraId="4ACB9B7C">
      <w:pPr>
        <w:widowControl w:val="0"/>
        <w:kinsoku/>
        <w:autoSpaceDE/>
        <w:autoSpaceDN/>
        <w:adjustRightInd/>
        <w:snapToGrid/>
        <w:spacing w:line="660" w:lineRule="exact"/>
        <w:jc w:val="center"/>
        <w:textAlignment w:val="auto"/>
        <w:rPr>
          <w:rFonts w:hint="eastAsia" w:ascii="黑体" w:hAnsi="黑体" w:eastAsia="黑体" w:cs="黑体"/>
          <w:snapToGrid/>
          <w:kern w:val="2"/>
          <w:sz w:val="36"/>
          <w:szCs w:val="36"/>
          <w:lang w:val="en-US" w:eastAsia="zh-CN"/>
        </w:rPr>
      </w:pPr>
    </w:p>
    <w:p w14:paraId="60C69377">
      <w:pPr>
        <w:widowControl w:val="0"/>
        <w:kinsoku/>
        <w:autoSpaceDE/>
        <w:autoSpaceDN/>
        <w:adjustRightInd/>
        <w:snapToGrid/>
        <w:spacing w:line="660" w:lineRule="exact"/>
        <w:jc w:val="center"/>
        <w:textAlignment w:val="auto"/>
        <w:rPr>
          <w:rFonts w:hint="eastAsia" w:ascii="黑体" w:hAnsi="黑体" w:eastAsia="黑体" w:cs="黑体"/>
          <w:snapToGrid/>
          <w:kern w:val="2"/>
          <w:sz w:val="36"/>
          <w:szCs w:val="36"/>
          <w:lang w:val="en-US" w:eastAsia="zh-CN"/>
        </w:rPr>
      </w:pPr>
    </w:p>
    <w:p w14:paraId="4D902ED6">
      <w:pPr>
        <w:widowControl w:val="0"/>
        <w:kinsoku/>
        <w:autoSpaceDE/>
        <w:autoSpaceDN/>
        <w:adjustRightInd/>
        <w:snapToGrid/>
        <w:spacing w:line="660" w:lineRule="exact"/>
        <w:jc w:val="center"/>
        <w:textAlignment w:val="auto"/>
        <w:rPr>
          <w:rFonts w:hint="eastAsia" w:ascii="黑体" w:hAnsi="黑体" w:eastAsia="黑体" w:cs="黑体"/>
          <w:snapToGrid/>
          <w:kern w:val="2"/>
          <w:sz w:val="36"/>
          <w:szCs w:val="36"/>
          <w:lang w:val="en-US" w:eastAsia="zh-CN"/>
        </w:rPr>
        <w:sectPr>
          <w:headerReference r:id="rId5" w:type="default"/>
          <w:footerReference r:id="rId6" w:type="default"/>
          <w:pgSz w:w="11907" w:h="16839"/>
          <w:pgMar w:top="1701" w:right="1531" w:bottom="1134" w:left="1531" w:header="0" w:footer="0" w:gutter="0"/>
          <w:pgNumType w:fmt="numberInDash" w:start="1"/>
          <w:cols w:space="720" w:num="1"/>
        </w:sectPr>
      </w:pPr>
    </w:p>
    <w:p w14:paraId="59F22C0C">
      <w:pPr>
        <w:widowControl w:val="0"/>
        <w:kinsoku/>
        <w:autoSpaceDE/>
        <w:autoSpaceDN/>
        <w:adjustRightInd/>
        <w:snapToGrid/>
        <w:spacing w:line="660" w:lineRule="exact"/>
        <w:jc w:val="center"/>
        <w:textAlignment w:val="auto"/>
        <w:rPr>
          <w:rFonts w:hint="eastAsia" w:ascii="黑体" w:hAnsi="黑体" w:eastAsia="黑体" w:cs="黑体"/>
          <w:snapToGrid/>
          <w:kern w:val="2"/>
          <w:sz w:val="36"/>
          <w:szCs w:val="36"/>
          <w:lang w:eastAsia="zh-CN"/>
        </w:rPr>
      </w:pPr>
      <w:r>
        <w:rPr>
          <w:rFonts w:hint="eastAsia" w:ascii="黑体" w:hAnsi="黑体" w:eastAsia="黑体" w:cs="黑体"/>
          <w:snapToGrid/>
          <w:kern w:val="2"/>
          <w:sz w:val="36"/>
          <w:szCs w:val="36"/>
          <w:lang w:val="en-US" w:eastAsia="zh-CN"/>
        </w:rPr>
        <w:t>《蛹虫草多糖生产</w:t>
      </w:r>
      <w:r>
        <w:rPr>
          <w:rFonts w:hint="eastAsia" w:ascii="黑体" w:hAnsi="黑体" w:eastAsia="黑体" w:cs="黑体"/>
          <w:snapToGrid/>
          <w:kern w:val="2"/>
          <w:sz w:val="36"/>
          <w:szCs w:val="36"/>
          <w:lang w:eastAsia="zh-CN"/>
        </w:rPr>
        <w:t>技术规程》</w:t>
      </w:r>
    </w:p>
    <w:p w14:paraId="12AF5B97">
      <w:pPr>
        <w:keepNext w:val="0"/>
        <w:keepLines w:val="0"/>
        <w:pageBreakBefore w:val="0"/>
        <w:widowControl w:val="0"/>
        <w:kinsoku/>
        <w:wordWrap/>
        <w:overflowPunct/>
        <w:topLinePunct w:val="0"/>
        <w:autoSpaceDE/>
        <w:autoSpaceDN/>
        <w:bidi w:val="0"/>
        <w:adjustRightInd/>
        <w:snapToGrid/>
        <w:spacing w:after="0" w:afterLines="100" w:line="660" w:lineRule="exact"/>
        <w:jc w:val="center"/>
        <w:textAlignment w:val="auto"/>
        <w:rPr>
          <w:rFonts w:hint="eastAsia" w:ascii="黑体" w:hAnsi="黑体" w:eastAsia="黑体" w:cs="黑体"/>
          <w:snapToGrid/>
          <w:kern w:val="2"/>
          <w:sz w:val="36"/>
          <w:szCs w:val="36"/>
          <w:lang w:eastAsia="zh-CN"/>
        </w:rPr>
      </w:pPr>
      <w:r>
        <w:rPr>
          <w:rFonts w:hint="eastAsia" w:ascii="黑体" w:hAnsi="黑体" w:eastAsia="黑体" w:cs="黑体"/>
          <w:snapToGrid/>
          <w:kern w:val="2"/>
          <w:sz w:val="36"/>
          <w:szCs w:val="36"/>
          <w:lang w:eastAsia="zh-CN"/>
        </w:rPr>
        <w:t>编 制 说 明</w:t>
      </w:r>
    </w:p>
    <w:p w14:paraId="72FA1C72">
      <w:pPr>
        <w:spacing w:line="360" w:lineRule="auto"/>
        <w:ind w:firstLine="480" w:firstLineChars="200"/>
        <w:rPr>
          <w:rFonts w:ascii="黑体" w:hAnsi="黑体" w:eastAsia="黑体"/>
          <w:sz w:val="24"/>
          <w:szCs w:val="24"/>
        </w:rPr>
      </w:pPr>
      <w:r>
        <w:rPr>
          <w:rFonts w:hint="eastAsia" w:ascii="黑体" w:hAnsi="黑体" w:eastAsia="黑体"/>
          <w:sz w:val="24"/>
          <w:szCs w:val="24"/>
        </w:rPr>
        <w:t>一、工作简况</w:t>
      </w:r>
    </w:p>
    <w:p w14:paraId="32552544">
      <w:pPr>
        <w:spacing w:line="360" w:lineRule="auto"/>
        <w:ind w:firstLine="480" w:firstLineChars="200"/>
        <w:rPr>
          <w:rFonts w:ascii="楷体" w:hAnsi="楷体" w:eastAsia="楷体"/>
          <w:sz w:val="24"/>
          <w:szCs w:val="24"/>
        </w:rPr>
      </w:pPr>
      <w:r>
        <w:rPr>
          <w:rFonts w:hint="eastAsia" w:ascii="楷体" w:hAnsi="楷体" w:eastAsia="楷体"/>
          <w:sz w:val="24"/>
          <w:szCs w:val="24"/>
        </w:rPr>
        <w:t>（一）任务来源</w:t>
      </w:r>
    </w:p>
    <w:bookmarkEnd w:id="2"/>
    <w:p w14:paraId="2D62CE2D">
      <w:pPr>
        <w:widowControl w:val="0"/>
        <w:kinsoku/>
        <w:autoSpaceDE/>
        <w:autoSpaceDN/>
        <w:adjustRightInd/>
        <w:snapToGrid/>
        <w:spacing w:line="360" w:lineRule="auto"/>
        <w:ind w:firstLine="480" w:firstLineChars="200"/>
        <w:jc w:val="both"/>
        <w:textAlignment w:val="auto"/>
        <w:rPr>
          <w:rFonts w:hint="eastAsia" w:ascii="仿宋" w:hAnsi="仿宋" w:eastAsia="仿宋" w:cs="Times New Roman"/>
          <w:snapToGrid/>
          <w:kern w:val="2"/>
          <w:sz w:val="24"/>
          <w:szCs w:val="24"/>
          <w:lang w:val="en-US" w:eastAsia="zh-CN"/>
        </w:rPr>
      </w:pPr>
      <w:r>
        <w:rPr>
          <w:rFonts w:hint="eastAsia" w:ascii="仿宋" w:hAnsi="仿宋" w:eastAsia="仿宋" w:cs="Times New Roman"/>
          <w:snapToGrid/>
          <w:kern w:val="2"/>
          <w:sz w:val="24"/>
          <w:szCs w:val="24"/>
          <w:lang w:val="en-US" w:eastAsia="zh-CN"/>
        </w:rPr>
        <w:t>2025年9月，中华全国供销总社下达的《中华全国供销合作总社办公厅关于下达2025年度供销合作行业标准制修订计划的通知》（供销厅科社〔2025〕42 号）起草。行业标准计划《蛹虫草多糖生产技术规程》由湖南省食用菌研究所上报，</w:t>
      </w:r>
      <w:r>
        <w:rPr>
          <w:rFonts w:hint="eastAsia" w:ascii="仿宋" w:hAnsi="仿宋" w:eastAsia="仿宋" w:cs="Times New Roman"/>
          <w:sz w:val="24"/>
          <w:szCs w:val="24"/>
        </w:rPr>
        <w:t>主管部门和归口单位均为中华全国供销合作总社，项目周期18个月</w:t>
      </w:r>
      <w:r>
        <w:rPr>
          <w:rFonts w:hint="eastAsia" w:ascii="仿宋" w:hAnsi="仿宋" w:eastAsia="仿宋" w:cs="Times New Roman"/>
          <w:snapToGrid/>
          <w:kern w:val="2"/>
          <w:sz w:val="24"/>
          <w:szCs w:val="24"/>
          <w:lang w:val="en-US" w:eastAsia="zh-CN"/>
        </w:rPr>
        <w:t>。起草单位为湖南省食用菌研究所、中华全国供销总社昆明食用菌研究所等。</w:t>
      </w:r>
    </w:p>
    <w:p w14:paraId="3BB87A80">
      <w:pPr>
        <w:spacing w:line="360" w:lineRule="auto"/>
        <w:ind w:firstLine="480" w:firstLineChars="200"/>
        <w:rPr>
          <w:rFonts w:ascii="楷体" w:hAnsi="楷体" w:eastAsia="楷体"/>
          <w:sz w:val="24"/>
          <w:szCs w:val="24"/>
        </w:rPr>
      </w:pPr>
      <w:bookmarkStart w:id="3" w:name="_Toc2919"/>
      <w:r>
        <w:rPr>
          <w:rFonts w:hint="eastAsia" w:ascii="楷体" w:hAnsi="楷体" w:eastAsia="楷体"/>
          <w:sz w:val="24"/>
          <w:szCs w:val="24"/>
        </w:rPr>
        <w:t>（二）制定背景</w:t>
      </w:r>
    </w:p>
    <w:p w14:paraId="459E4494">
      <w:pPr>
        <w:widowControl w:val="0"/>
        <w:kinsoku/>
        <w:autoSpaceDE/>
        <w:autoSpaceDN/>
        <w:adjustRightInd/>
        <w:snapToGrid/>
        <w:spacing w:line="360" w:lineRule="auto"/>
        <w:ind w:firstLine="482" w:firstLineChars="200"/>
        <w:jc w:val="both"/>
        <w:textAlignment w:val="auto"/>
        <w:rPr>
          <w:rFonts w:hint="eastAsia" w:ascii="仿宋" w:hAnsi="仿宋" w:eastAsia="仿宋" w:cs="Times New Roman"/>
          <w:b/>
          <w:bCs/>
          <w:snapToGrid/>
          <w:kern w:val="2"/>
          <w:sz w:val="24"/>
          <w:szCs w:val="24"/>
          <w:lang w:val="en-US" w:eastAsia="zh-CN"/>
        </w:rPr>
      </w:pPr>
      <w:r>
        <w:rPr>
          <w:rFonts w:hint="eastAsia" w:ascii="仿宋" w:hAnsi="仿宋" w:eastAsia="仿宋" w:cs="Times New Roman"/>
          <w:b/>
          <w:bCs/>
          <w:snapToGrid/>
          <w:kern w:val="2"/>
          <w:sz w:val="24"/>
          <w:szCs w:val="24"/>
          <w:lang w:val="en-US" w:eastAsia="zh-CN"/>
        </w:rPr>
        <w:t>1.蛹虫草栽培产业发展快，相关标准逐步完善</w:t>
      </w:r>
      <w:bookmarkEnd w:id="3"/>
    </w:p>
    <w:p w14:paraId="5AEF186F">
      <w:pPr>
        <w:widowControl w:val="0"/>
        <w:kinsoku/>
        <w:autoSpaceDE/>
        <w:autoSpaceDN/>
        <w:adjustRightInd/>
        <w:snapToGrid/>
        <w:spacing w:line="360" w:lineRule="auto"/>
        <w:ind w:firstLine="480" w:firstLineChars="200"/>
        <w:jc w:val="both"/>
        <w:textAlignment w:val="auto"/>
        <w:rPr>
          <w:rFonts w:hint="eastAsia" w:ascii="仿宋" w:hAnsi="仿宋" w:eastAsia="仿宋" w:cs="Times New Roman"/>
          <w:snapToGrid/>
          <w:kern w:val="2"/>
          <w:sz w:val="24"/>
          <w:szCs w:val="24"/>
          <w:lang w:val="en-US" w:eastAsia="zh-CN"/>
        </w:rPr>
      </w:pPr>
      <w:r>
        <w:rPr>
          <w:rFonts w:hint="eastAsia" w:ascii="仿宋" w:hAnsi="仿宋" w:eastAsia="仿宋" w:cs="Times New Roman"/>
          <w:snapToGrid/>
          <w:kern w:val="2"/>
          <w:sz w:val="24"/>
          <w:szCs w:val="24"/>
          <w:lang w:val="en-US" w:eastAsia="zh-CN"/>
        </w:rPr>
        <w:t>蛹虫草（</w:t>
      </w:r>
      <w:r>
        <w:rPr>
          <w:rFonts w:ascii="Times New Roman" w:eastAsia="标准粗黑"/>
          <w:i/>
          <w:iCs/>
          <w:sz w:val="24"/>
          <w:szCs w:val="24"/>
        </w:rPr>
        <w:t>Cordyceps militaris</w:t>
      </w:r>
      <w:r>
        <w:rPr>
          <w:rFonts w:ascii="Times New Roman" w:eastAsia="标准粗黑"/>
          <w:sz w:val="24"/>
          <w:szCs w:val="24"/>
        </w:rPr>
        <w:t xml:space="preserve"> (L.) Fr</w:t>
      </w:r>
      <w:r>
        <w:rPr>
          <w:rFonts w:hint="eastAsia" w:ascii="仿宋" w:hAnsi="仿宋" w:eastAsia="仿宋" w:cs="Times New Roman"/>
          <w:snapToGrid/>
          <w:kern w:val="2"/>
          <w:sz w:val="24"/>
          <w:szCs w:val="24"/>
          <w:lang w:val="en-US" w:eastAsia="zh-CN"/>
        </w:rPr>
        <w:t>）是子囊菌门、盘菌亚门、粪壳菌纲肉座菌亚纲、肉座菌目、虫草科、虫草属一种重要的食药用真菌。商业名称为虫草花。我国已经实现蛹虫草规模化人工栽培，蛹虫草中含虫草多糖、虫草素、腺苷、虫草酸以及多种维生素、微量元素等，其活性物质具有免疫调节、抗菌抗炎、抗肿瘤等药理活性。在我国，虫草作为传统药物已有数百年的广泛应用历史，研究表明人工栽培的蛹虫草与冬虫夏草在生物活性成分方面有大量相似成分且含量无明显差异，未来随着生物医药、大健康产业的发展，蛹虫草活性物质提取物将具更大的应用前景和更广阔的市场空间。</w:t>
      </w:r>
    </w:p>
    <w:p w14:paraId="0A4CEC89">
      <w:pPr>
        <w:widowControl w:val="0"/>
        <w:kinsoku/>
        <w:autoSpaceDE/>
        <w:autoSpaceDN/>
        <w:adjustRightInd/>
        <w:snapToGrid/>
        <w:spacing w:line="360" w:lineRule="auto"/>
        <w:ind w:firstLine="480" w:firstLineChars="200"/>
        <w:jc w:val="both"/>
        <w:textAlignment w:val="auto"/>
        <w:rPr>
          <w:rFonts w:hint="eastAsia" w:ascii="仿宋" w:hAnsi="仿宋" w:eastAsia="仿宋" w:cs="Times New Roman"/>
          <w:snapToGrid/>
          <w:kern w:val="2"/>
          <w:sz w:val="24"/>
          <w:szCs w:val="24"/>
          <w:lang w:val="en-US" w:eastAsia="zh-CN"/>
        </w:rPr>
      </w:pPr>
      <w:r>
        <w:rPr>
          <w:rFonts w:hint="eastAsia" w:ascii="仿宋" w:hAnsi="仿宋" w:eastAsia="仿宋" w:cs="Times New Roman"/>
          <w:snapToGrid/>
          <w:kern w:val="2"/>
          <w:sz w:val="24"/>
          <w:szCs w:val="24"/>
          <w:lang w:val="en-US" w:eastAsia="zh-CN"/>
        </w:rPr>
        <w:t>蛹虫草人工栽培始于九十年代，2009年，蛹虫草子实体正式批准为新资源食品（现名为新食品原料）后，在全国掀起了栽培大潮，上海、江苏、山东、湖南、辽宁、内蒙古、吉林等地有大量的企业和农户进行规模化栽培。据中国食用菌协会统计，2016 年，我国蛹虫草年产量达1.73万吨，2020年产量已增长至8.29万吨，2023 年产量已达 9.47 万吨，是我国工厂化栽培的主要品种之一。2024年，商务部和科技部将蛹虫草人工培植技术列为限制出口的技术之一。</w:t>
      </w:r>
    </w:p>
    <w:p w14:paraId="2F2ED8FB">
      <w:pPr>
        <w:widowControl w:val="0"/>
        <w:kinsoku/>
        <w:autoSpaceDE/>
        <w:autoSpaceDN/>
        <w:adjustRightInd/>
        <w:snapToGrid/>
        <w:spacing w:line="360" w:lineRule="auto"/>
        <w:ind w:firstLine="480" w:firstLineChars="200"/>
        <w:jc w:val="both"/>
        <w:textAlignment w:val="auto"/>
        <w:rPr>
          <w:rFonts w:hint="eastAsia" w:ascii="仿宋" w:hAnsi="仿宋" w:eastAsia="仿宋" w:cs="Times New Roman"/>
          <w:snapToGrid/>
          <w:kern w:val="2"/>
          <w:sz w:val="24"/>
          <w:szCs w:val="24"/>
          <w:lang w:val="en-US" w:eastAsia="zh-CN"/>
        </w:rPr>
      </w:pPr>
      <w:r>
        <w:rPr>
          <w:rFonts w:hint="eastAsia" w:ascii="仿宋" w:hAnsi="仿宋" w:eastAsia="仿宋" w:cs="Times New Roman"/>
          <w:snapToGrid/>
          <w:kern w:val="2"/>
          <w:sz w:val="24"/>
          <w:szCs w:val="24"/>
          <w:lang w:val="en-US" w:eastAsia="zh-CN"/>
        </w:rPr>
        <w:t>目前我国规模化的蛹虫草企业二十家，家庭作坊式及散户更是多不胜数。栽培产业带动产量产值，带动了市场和加工产业不断发展和升级，目前蛹虫草制品被广泛用于功能成分提取、日常滋补食品、保健食品等领域，产值近100亿元。伴随蛹虫草产业的快速发展，制约蛹虫草产业健康发展的行业瓶颈问题日益突出，为促进产业的发展，中华全国供销合作总社提出并归口了《蛹虫草》产品标准，已发布。随着《蛹虫草》产品标准的发布，将促进蛹虫草产品的质量统一，规范蛹虫草及其制品生产，稳定产品质量，提高菇农收入，保障消费者权益，从而促进我国蛹虫草乃至食用菌产业的健康可持续发展。</w:t>
      </w:r>
    </w:p>
    <w:p w14:paraId="189EA8CD">
      <w:pPr>
        <w:widowControl w:val="0"/>
        <w:kinsoku/>
        <w:autoSpaceDE/>
        <w:autoSpaceDN/>
        <w:adjustRightInd/>
        <w:snapToGrid/>
        <w:spacing w:line="360" w:lineRule="auto"/>
        <w:ind w:firstLine="482" w:firstLineChars="200"/>
        <w:jc w:val="both"/>
        <w:textAlignment w:val="auto"/>
        <w:rPr>
          <w:rFonts w:hint="eastAsia" w:ascii="仿宋" w:hAnsi="仿宋" w:eastAsia="仿宋" w:cs="Times New Roman"/>
          <w:b/>
          <w:bCs/>
          <w:snapToGrid/>
          <w:kern w:val="2"/>
          <w:sz w:val="24"/>
          <w:szCs w:val="24"/>
          <w:lang w:val="en-US" w:eastAsia="zh-CN"/>
        </w:rPr>
      </w:pPr>
      <w:bookmarkStart w:id="4" w:name="_Toc17946"/>
      <w:r>
        <w:rPr>
          <w:rFonts w:hint="eastAsia" w:ascii="仿宋" w:hAnsi="仿宋" w:eastAsia="仿宋" w:cs="Times New Roman"/>
          <w:b/>
          <w:bCs/>
          <w:snapToGrid/>
          <w:kern w:val="2"/>
          <w:sz w:val="24"/>
          <w:szCs w:val="24"/>
          <w:lang w:val="en-US" w:eastAsia="zh-CN"/>
        </w:rPr>
        <w:t>2.蛹虫草提取物产业发展快速，亟需相关标准规范</w:t>
      </w:r>
      <w:bookmarkEnd w:id="4"/>
    </w:p>
    <w:p w14:paraId="574071D0">
      <w:pPr>
        <w:widowControl w:val="0"/>
        <w:kinsoku/>
        <w:autoSpaceDE/>
        <w:autoSpaceDN/>
        <w:adjustRightInd/>
        <w:snapToGrid/>
        <w:spacing w:line="360" w:lineRule="auto"/>
        <w:ind w:firstLine="480" w:firstLineChars="200"/>
        <w:jc w:val="both"/>
        <w:textAlignment w:val="auto"/>
        <w:rPr>
          <w:rFonts w:hint="eastAsia" w:ascii="仿宋" w:hAnsi="仿宋" w:eastAsia="仿宋" w:cs="Times New Roman"/>
          <w:snapToGrid/>
          <w:kern w:val="2"/>
          <w:sz w:val="24"/>
          <w:szCs w:val="24"/>
          <w:lang w:val="en-US" w:eastAsia="zh-CN"/>
        </w:rPr>
      </w:pPr>
      <w:r>
        <w:rPr>
          <w:rFonts w:hint="eastAsia" w:ascii="仿宋" w:hAnsi="仿宋" w:eastAsia="仿宋" w:cs="Times New Roman"/>
          <w:snapToGrid/>
          <w:kern w:val="2"/>
          <w:sz w:val="24"/>
          <w:szCs w:val="24"/>
          <w:lang w:val="en-US" w:eastAsia="zh-CN"/>
        </w:rPr>
        <w:t>2023年我国植物提取物出口额33.2亿美元，占全球市场份额超过20%，居世界第一。湖南省是国内重要的提取物产业基地，湖南省目前共计有规模提取物公司20多家，其中有2-3家公司专注于菌类提取物的提取，菌类提取物是一个重要的组成。菌类因富含多糖、肽类、黄酮类，活性显著，广泛应用于医药、保健食品、膳食补充剂、化妆品等，市场前景非常广阔。蛹虫草多糖是蛹虫草中一种重要的功能成分，具有增强免疫力、缓解体力疲劳、改善睡眠、辅助降血脂等功效，广泛应用于食品、药品和美容产品。目前，国内外已有约70种含有蛹虫草的保健食品获批，形式包括胶囊、口服液和粉末等。此外，蛹虫草多糖还被添加到饼干、饮料等食品中，提升营养价值和口感。在美容领域，利用其抗氧化和抗衰老特性用于面膜和精华液等产品。</w:t>
      </w:r>
    </w:p>
    <w:p w14:paraId="277E58B3">
      <w:pPr>
        <w:widowControl w:val="0"/>
        <w:kinsoku/>
        <w:autoSpaceDE/>
        <w:autoSpaceDN/>
        <w:adjustRightInd/>
        <w:snapToGrid/>
        <w:spacing w:line="360" w:lineRule="auto"/>
        <w:ind w:firstLine="480" w:firstLineChars="200"/>
        <w:jc w:val="both"/>
        <w:textAlignment w:val="auto"/>
        <w:rPr>
          <w:rFonts w:hint="eastAsia" w:ascii="仿宋" w:hAnsi="仿宋" w:eastAsia="仿宋" w:cs="Times New Roman"/>
          <w:snapToGrid/>
          <w:kern w:val="2"/>
          <w:sz w:val="24"/>
          <w:szCs w:val="24"/>
          <w:lang w:val="en-US" w:eastAsia="zh-CN"/>
        </w:rPr>
      </w:pPr>
      <w:r>
        <w:rPr>
          <w:rFonts w:hint="eastAsia" w:ascii="仿宋" w:hAnsi="仿宋" w:eastAsia="仿宋" w:cs="Times New Roman"/>
          <w:snapToGrid/>
          <w:kern w:val="2"/>
          <w:sz w:val="24"/>
          <w:szCs w:val="24"/>
          <w:lang w:val="en-US" w:eastAsia="zh-CN"/>
        </w:rPr>
        <w:t>蛹虫草多糖保健价值和市场规模效益大，但因缺乏统一标准和监管，产品质量不一，将影响消费者信任。在标准制定方面，目前大多数关于蛹虫草的标准多集中在栽培、生产技术规程、蛹虫草子实体生产相关方面。由中华全国供销合作总社支持的系列行业标准，如《GH/T 1404-2022鲜蛹虫草》、《GH/T 1240-2019 干制蛹虫草》、《GH/T 1441-2023 冻干蛹虫草生产技术规程》、《GH/T 1331-2021 蛹虫草子实体生产技术规程》、《GH/T 1443-2023蛹虫草粉》等对蛹虫草从生产、鲜品到干制、菌粉均多了系列规范，为蛹虫草多糖的生产提供了优质原料保障。与多糖相关标准中，绝大多数标准集中在多糖含量的检测方法上，关于真菌多糖的标准仅《GB/T 45733—2025银耳中银耳多糖的测定方法》、《DB43/T 2324-2022桑黄多糖液体发酵生产技术规程》两项，但蛹虫草多糖的提取具有自身的特定性要求。目前，蛹虫草多糖的制备方法包括热水提取法、酸/碱溶液提取法和缓冲液提取法，可从蛹虫草子实体、菌丝体或者发酵液中提取。考虑到操作性、价格等方面因素，对蛹虫草多糖进行粗提多采用热水浸提的方式。目前蛹虫草及菌类多糖相关国家标准和行业标准均未涉及多糖提取相关技术规程，在蛹虫草多糖领域的针对性不强。</w:t>
      </w:r>
    </w:p>
    <w:p w14:paraId="015DB694">
      <w:pPr>
        <w:widowControl w:val="0"/>
        <w:kinsoku/>
        <w:autoSpaceDE/>
        <w:autoSpaceDN/>
        <w:adjustRightInd/>
        <w:snapToGrid/>
        <w:spacing w:line="360" w:lineRule="auto"/>
        <w:ind w:firstLine="480" w:firstLineChars="200"/>
        <w:jc w:val="both"/>
        <w:textAlignment w:val="auto"/>
        <w:rPr>
          <w:rFonts w:hint="eastAsia" w:ascii="仿宋" w:hAnsi="仿宋" w:eastAsia="仿宋" w:cs="Times New Roman"/>
          <w:snapToGrid/>
          <w:kern w:val="2"/>
          <w:sz w:val="24"/>
          <w:szCs w:val="24"/>
          <w:lang w:val="en-US" w:eastAsia="zh-CN"/>
        </w:rPr>
      </w:pPr>
      <w:r>
        <w:rPr>
          <w:rFonts w:hint="eastAsia" w:ascii="仿宋" w:hAnsi="仿宋" w:eastAsia="仿宋" w:cs="Times New Roman"/>
          <w:snapToGrid/>
          <w:kern w:val="2"/>
          <w:sz w:val="24"/>
          <w:szCs w:val="24"/>
          <w:lang w:val="en-US" w:eastAsia="zh-CN"/>
        </w:rPr>
        <w:t>由于缺乏《蛹虫草多糖生产技术规程》的国家标准和行业标准，无法明确蛹虫草原料的验收、管理和使用，以及规范完整的提取流程。这导致蛹虫草多糖的活性和得率无法得到保障，企业在原料验收、管理和使用以及提取工艺流程上缺乏规范，产品质量难以保证。加之热水提取法操作相对成熟，缺乏规范管理导致市场进入门槛低，加剧了市场恶性竞争。在蛹虫草多糖提取物中添加麦芽糖等糖类在检测中蒙混过关大有人在。蛹虫草多糖产品具有广泛市场潜力，制定蛹虫草多糖提取物技术规程，规范其产品技术规范具有前瞻性，推动蛹虫草产业向规模化、标准化、专业化方向发展，促进产业的技术创新和升级换代。</w:t>
      </w:r>
    </w:p>
    <w:p w14:paraId="27AB8CFF">
      <w:pPr>
        <w:widowControl w:val="0"/>
        <w:kinsoku/>
        <w:autoSpaceDE/>
        <w:autoSpaceDN/>
        <w:adjustRightInd/>
        <w:snapToGrid/>
        <w:spacing w:line="360" w:lineRule="auto"/>
        <w:ind w:firstLine="482" w:firstLineChars="200"/>
        <w:jc w:val="both"/>
        <w:textAlignment w:val="auto"/>
        <w:rPr>
          <w:rFonts w:hint="default" w:ascii="仿宋" w:hAnsi="仿宋" w:eastAsia="仿宋" w:cs="Times New Roman"/>
          <w:b/>
          <w:bCs/>
          <w:snapToGrid/>
          <w:kern w:val="2"/>
          <w:sz w:val="24"/>
          <w:szCs w:val="24"/>
          <w:lang w:val="en-US" w:eastAsia="zh-CN"/>
        </w:rPr>
      </w:pPr>
      <w:bookmarkStart w:id="5" w:name="_Toc8621"/>
      <w:r>
        <w:rPr>
          <w:rFonts w:hint="eastAsia" w:ascii="仿宋" w:hAnsi="仿宋" w:eastAsia="仿宋" w:cs="Times New Roman"/>
          <w:b/>
          <w:bCs/>
          <w:snapToGrid/>
          <w:kern w:val="2"/>
          <w:sz w:val="24"/>
          <w:szCs w:val="24"/>
          <w:lang w:val="en-US" w:eastAsia="zh-CN"/>
        </w:rPr>
        <w:t>3.</w:t>
      </w:r>
      <w:r>
        <w:rPr>
          <w:rFonts w:hint="default" w:ascii="仿宋" w:hAnsi="仿宋" w:eastAsia="仿宋" w:cs="Times New Roman"/>
          <w:b/>
          <w:bCs/>
          <w:snapToGrid/>
          <w:kern w:val="2"/>
          <w:sz w:val="24"/>
          <w:szCs w:val="24"/>
          <w:lang w:val="en-US" w:eastAsia="zh-CN"/>
        </w:rPr>
        <w:t>完善</w:t>
      </w:r>
      <w:r>
        <w:rPr>
          <w:rFonts w:hint="eastAsia" w:ascii="仿宋" w:hAnsi="仿宋" w:eastAsia="仿宋" w:cs="Times New Roman"/>
          <w:b/>
          <w:bCs/>
          <w:snapToGrid/>
          <w:kern w:val="2"/>
          <w:sz w:val="24"/>
          <w:szCs w:val="24"/>
          <w:lang w:val="en-US" w:eastAsia="zh-CN"/>
        </w:rPr>
        <w:t>相关</w:t>
      </w:r>
      <w:r>
        <w:rPr>
          <w:rFonts w:hint="default" w:ascii="仿宋" w:hAnsi="仿宋" w:eastAsia="仿宋" w:cs="Times New Roman"/>
          <w:b/>
          <w:bCs/>
          <w:snapToGrid/>
          <w:kern w:val="2"/>
          <w:sz w:val="24"/>
          <w:szCs w:val="24"/>
          <w:lang w:val="en-US" w:eastAsia="zh-CN"/>
        </w:rPr>
        <w:t>标准的需要</w:t>
      </w:r>
      <w:bookmarkEnd w:id="5"/>
    </w:p>
    <w:p w14:paraId="01D821EF">
      <w:pPr>
        <w:widowControl w:val="0"/>
        <w:kinsoku/>
        <w:autoSpaceDE/>
        <w:autoSpaceDN/>
        <w:adjustRightInd/>
        <w:snapToGrid/>
        <w:spacing w:line="360" w:lineRule="auto"/>
        <w:ind w:firstLine="480" w:firstLineChars="200"/>
        <w:jc w:val="both"/>
        <w:textAlignment w:val="auto"/>
        <w:rPr>
          <w:rFonts w:hint="eastAsia" w:ascii="仿宋" w:hAnsi="仿宋" w:eastAsia="仿宋" w:cs="Times New Roman"/>
          <w:snapToGrid/>
          <w:kern w:val="2"/>
          <w:sz w:val="24"/>
          <w:szCs w:val="24"/>
          <w:lang w:val="en-US" w:eastAsia="zh-CN"/>
        </w:rPr>
      </w:pPr>
      <w:r>
        <w:rPr>
          <w:rFonts w:hint="eastAsia" w:ascii="仿宋" w:hAnsi="仿宋" w:eastAsia="仿宋" w:cs="Times New Roman"/>
          <w:snapToGrid/>
          <w:kern w:val="2"/>
          <w:sz w:val="24"/>
          <w:szCs w:val="24"/>
          <w:lang w:val="en-US" w:eastAsia="zh-CN"/>
        </w:rPr>
        <w:t>经查询，目前ISO、CAC、AOAC等国际标准化组织中都没有涉及“蛹虫草多糖提取技术规程”方面的相关标准。我国也没有相应的“蛹虫草多糖提取技术规程”国家或行业标准。目前国家标准化管理委员会即将发布《</w:t>
      </w:r>
      <w:r>
        <w:rPr>
          <w:rFonts w:hint="default" w:ascii="仿宋" w:hAnsi="仿宋" w:eastAsia="仿宋" w:cs="Times New Roman"/>
          <w:snapToGrid/>
          <w:kern w:val="2"/>
          <w:sz w:val="24"/>
          <w:szCs w:val="24"/>
          <w:lang w:val="en-US" w:eastAsia="zh-CN"/>
        </w:rPr>
        <w:t>银耳中银耳多糖的测定方法 离子色谱法</w:t>
      </w:r>
      <w:r>
        <w:rPr>
          <w:rFonts w:hint="eastAsia" w:ascii="仿宋" w:hAnsi="仿宋" w:eastAsia="仿宋" w:cs="Times New Roman"/>
          <w:snapToGrid/>
          <w:kern w:val="2"/>
          <w:sz w:val="24"/>
          <w:szCs w:val="24"/>
          <w:lang w:val="en-US" w:eastAsia="zh-CN"/>
        </w:rPr>
        <w:t>》检测国家标准，</w:t>
      </w:r>
      <w:r>
        <w:rPr>
          <w:rFonts w:hint="default" w:ascii="仿宋" w:hAnsi="仿宋" w:eastAsia="仿宋" w:cs="Times New Roman"/>
          <w:snapToGrid/>
          <w:kern w:val="2"/>
          <w:sz w:val="24"/>
          <w:szCs w:val="24"/>
          <w:lang w:val="en-US" w:eastAsia="zh-CN"/>
        </w:rPr>
        <w:t>工业和信息化部</w:t>
      </w:r>
      <w:r>
        <w:rPr>
          <w:rFonts w:hint="eastAsia" w:ascii="仿宋" w:hAnsi="仿宋" w:eastAsia="仿宋" w:cs="Times New Roman"/>
          <w:snapToGrid/>
          <w:kern w:val="2"/>
          <w:sz w:val="24"/>
          <w:szCs w:val="24"/>
          <w:lang w:val="en-US" w:eastAsia="zh-CN"/>
        </w:rPr>
        <w:t>发布了一项关于《食用菌多糖》的质量标准，</w:t>
      </w:r>
      <w:r>
        <w:rPr>
          <w:rFonts w:hint="default" w:ascii="仿宋" w:hAnsi="仿宋" w:eastAsia="仿宋" w:cs="Times New Roman"/>
          <w:snapToGrid/>
          <w:kern w:val="2"/>
          <w:sz w:val="24"/>
          <w:szCs w:val="24"/>
          <w:lang w:val="en-US" w:eastAsia="zh-CN"/>
        </w:rPr>
        <w:t>农业农村部</w:t>
      </w:r>
      <w:r>
        <w:rPr>
          <w:rFonts w:hint="eastAsia" w:ascii="仿宋" w:hAnsi="仿宋" w:eastAsia="仿宋" w:cs="Times New Roman"/>
          <w:snapToGrid/>
          <w:kern w:val="2"/>
          <w:sz w:val="24"/>
          <w:szCs w:val="24"/>
          <w:lang w:val="en-US" w:eastAsia="zh-CN"/>
        </w:rPr>
        <w:t>发布了《</w:t>
      </w:r>
      <w:r>
        <w:rPr>
          <w:rFonts w:hint="default" w:ascii="仿宋" w:hAnsi="仿宋" w:eastAsia="仿宋" w:cs="Times New Roman"/>
          <w:snapToGrid/>
          <w:kern w:val="2"/>
          <w:sz w:val="24"/>
          <w:szCs w:val="24"/>
          <w:lang w:val="en-US" w:eastAsia="zh-CN"/>
        </w:rPr>
        <w:t>食用菌中粗多糖的测定分光光度法</w:t>
      </w:r>
      <w:r>
        <w:rPr>
          <w:rFonts w:hint="eastAsia" w:ascii="仿宋" w:hAnsi="仿宋" w:eastAsia="仿宋" w:cs="Times New Roman"/>
          <w:snapToGrid/>
          <w:kern w:val="2"/>
          <w:sz w:val="24"/>
          <w:szCs w:val="24"/>
          <w:lang w:val="en-US" w:eastAsia="zh-CN"/>
        </w:rPr>
        <w:t>》等行业标准，其次就是地方标准和一些社会组织制定了一些相应植物、菌物多糖的质量标准和检测标准，比如中国进出口医药保健品商会、</w:t>
      </w:r>
      <w:r>
        <w:rPr>
          <w:rFonts w:hint="default" w:ascii="仿宋" w:hAnsi="仿宋" w:eastAsia="仿宋" w:cs="Times New Roman"/>
          <w:snapToGrid/>
          <w:kern w:val="2"/>
          <w:sz w:val="24"/>
          <w:szCs w:val="24"/>
          <w:lang w:val="en-US" w:eastAsia="zh-CN"/>
        </w:rPr>
        <w:t>中国国际经济技术合作促进会</w:t>
      </w:r>
      <w:r>
        <w:rPr>
          <w:rFonts w:hint="eastAsia" w:ascii="仿宋" w:hAnsi="仿宋" w:eastAsia="仿宋" w:cs="Times New Roman"/>
          <w:snapToGrid/>
          <w:kern w:val="2"/>
          <w:sz w:val="24"/>
          <w:szCs w:val="24"/>
          <w:lang w:val="en-US" w:eastAsia="zh-CN"/>
        </w:rPr>
        <w:t>、上</w:t>
      </w:r>
      <w:r>
        <w:rPr>
          <w:rFonts w:hint="default" w:ascii="仿宋" w:hAnsi="仿宋" w:eastAsia="仿宋" w:cs="Times New Roman"/>
          <w:snapToGrid/>
          <w:kern w:val="2"/>
          <w:sz w:val="24"/>
          <w:szCs w:val="24"/>
          <w:lang w:val="en-US" w:eastAsia="zh-CN"/>
        </w:rPr>
        <w:t>海市食品添加剂和配料行业协会</w:t>
      </w:r>
      <w:r>
        <w:rPr>
          <w:rFonts w:hint="eastAsia" w:ascii="仿宋" w:hAnsi="仿宋" w:eastAsia="仿宋" w:cs="Times New Roman"/>
          <w:snapToGrid/>
          <w:kern w:val="2"/>
          <w:sz w:val="24"/>
          <w:szCs w:val="24"/>
          <w:lang w:val="en-US" w:eastAsia="zh-CN"/>
        </w:rPr>
        <w:t>、</w:t>
      </w:r>
      <w:r>
        <w:rPr>
          <w:rFonts w:hint="default" w:ascii="仿宋" w:hAnsi="仿宋" w:eastAsia="仿宋" w:cs="Times New Roman"/>
          <w:snapToGrid/>
          <w:kern w:val="2"/>
          <w:sz w:val="24"/>
          <w:szCs w:val="24"/>
          <w:lang w:val="en-US" w:eastAsia="zh-CN"/>
        </w:rPr>
        <w:t>云南省标准化协会</w:t>
      </w:r>
      <w:r>
        <w:rPr>
          <w:rFonts w:hint="eastAsia" w:ascii="仿宋" w:hAnsi="仿宋" w:eastAsia="仿宋" w:cs="Times New Roman"/>
          <w:snapToGrid/>
          <w:kern w:val="2"/>
          <w:sz w:val="24"/>
          <w:szCs w:val="24"/>
          <w:lang w:val="en-US" w:eastAsia="zh-CN"/>
        </w:rPr>
        <w:t>、</w:t>
      </w:r>
      <w:r>
        <w:rPr>
          <w:rFonts w:hint="default" w:ascii="仿宋" w:hAnsi="仿宋" w:eastAsia="仿宋" w:cs="Times New Roman"/>
          <w:snapToGrid/>
          <w:kern w:val="2"/>
          <w:sz w:val="24"/>
          <w:szCs w:val="24"/>
          <w:lang w:val="en-US" w:eastAsia="zh-CN"/>
        </w:rPr>
        <w:t>山西省市场监督管理局</w:t>
      </w:r>
      <w:r>
        <w:rPr>
          <w:rFonts w:hint="eastAsia" w:ascii="仿宋" w:hAnsi="仿宋" w:eastAsia="仿宋" w:cs="Times New Roman"/>
          <w:snapToGrid/>
          <w:kern w:val="2"/>
          <w:sz w:val="24"/>
          <w:szCs w:val="24"/>
          <w:lang w:val="en-US" w:eastAsia="zh-CN"/>
        </w:rPr>
        <w:t>、湖南省市场监督局等。</w:t>
      </w:r>
    </w:p>
    <w:p w14:paraId="6DBA836F">
      <w:pPr>
        <w:widowControl w:val="0"/>
        <w:kinsoku/>
        <w:autoSpaceDE/>
        <w:autoSpaceDN/>
        <w:adjustRightInd/>
        <w:snapToGrid/>
        <w:spacing w:line="360" w:lineRule="auto"/>
        <w:ind w:firstLine="480" w:firstLineChars="200"/>
        <w:jc w:val="both"/>
        <w:textAlignment w:val="auto"/>
        <w:rPr>
          <w:rFonts w:hint="eastAsia" w:ascii="仿宋" w:hAnsi="仿宋" w:eastAsia="仿宋" w:cs="Times New Roman"/>
          <w:snapToGrid/>
          <w:kern w:val="2"/>
          <w:sz w:val="24"/>
          <w:szCs w:val="24"/>
          <w:lang w:val="en-US" w:eastAsia="zh-CN"/>
        </w:rPr>
      </w:pPr>
      <w:r>
        <w:rPr>
          <w:rFonts w:hint="eastAsia" w:ascii="仿宋" w:hAnsi="仿宋" w:eastAsia="仿宋" w:cs="Times New Roman"/>
          <w:snapToGrid/>
          <w:kern w:val="2"/>
          <w:sz w:val="24"/>
          <w:szCs w:val="24"/>
          <w:lang w:val="en-US" w:eastAsia="zh-CN"/>
        </w:rPr>
        <w:t>表1：多糖提取、检测以及菌类提取物相关国家标准、行业标准地方标准</w:t>
      </w:r>
    </w:p>
    <w:tbl>
      <w:tblPr>
        <w:tblStyle w:val="12"/>
        <w:tblW w:w="8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5160"/>
        <w:gridCol w:w="2769"/>
      </w:tblGrid>
      <w:tr w14:paraId="60AE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23" w:type="dxa"/>
            <w:tcBorders>
              <w:top w:val="single" w:color="4F81BD" w:themeColor="accent1" w:sz="6" w:space="0"/>
              <w:left w:val="single" w:color="4F81BD" w:themeColor="accent1" w:sz="6" w:space="0"/>
              <w:bottom w:val="single" w:color="4F81BD" w:themeColor="accent1" w:sz="6" w:space="0"/>
              <w:right w:val="single" w:color="B8CCE4" w:themeColor="accent1" w:themeTint="66" w:sz="6" w:space="0"/>
            </w:tcBorders>
            <w:shd w:val="clear" w:color="auto" w:fill="4F81BD" w:themeFill="accent1"/>
            <w:vAlign w:val="center"/>
          </w:tcPr>
          <w:p w14:paraId="5E650779">
            <w:pPr>
              <w:widowControl w:val="0"/>
              <w:snapToGrid w:val="0"/>
              <w:ind w:left="0" w:leftChars="0" w:right="0" w:rightChars="0" w:firstLine="0" w:firstLineChars="0"/>
              <w:jc w:val="center"/>
              <w:rPr>
                <w:rFonts w:hint="default" w:ascii="Times New Roman" w:hAnsi="Times New Roman" w:eastAsia="宋体" w:cs="Times New Roman"/>
                <w:b/>
                <w:i w:val="0"/>
                <w:color w:val="FFFFFF"/>
                <w:sz w:val="21"/>
                <w:szCs w:val="21"/>
                <w:vertAlign w:val="baseline"/>
                <w:lang w:val="en-US" w:eastAsia="zh-CN"/>
              </w:rPr>
            </w:pPr>
            <w:r>
              <w:rPr>
                <w:rFonts w:hint="default" w:ascii="Times New Roman" w:hAnsi="Times New Roman" w:eastAsia="宋体" w:cs="Times New Roman"/>
                <w:b/>
                <w:i w:val="0"/>
                <w:color w:val="FFFFFF"/>
                <w:sz w:val="21"/>
                <w:szCs w:val="21"/>
                <w:vertAlign w:val="baseline"/>
                <w:lang w:val="en-US" w:eastAsia="zh-CN"/>
              </w:rPr>
              <w:t>序号</w:t>
            </w:r>
          </w:p>
        </w:tc>
        <w:tc>
          <w:tcPr>
            <w:tcW w:w="5160" w:type="dxa"/>
            <w:tcBorders>
              <w:top w:val="single" w:color="4F81BD" w:themeColor="accent1" w:sz="6" w:space="0"/>
              <w:left w:val="single" w:color="B8CCE4" w:themeColor="accent1" w:themeTint="66" w:sz="6" w:space="0"/>
              <w:bottom w:val="single" w:color="4F81BD" w:themeColor="accent1" w:sz="6" w:space="0"/>
              <w:right w:val="single" w:color="B8CCE4" w:themeColor="accent1" w:themeTint="66" w:sz="6" w:space="0"/>
            </w:tcBorders>
            <w:shd w:val="clear" w:color="auto" w:fill="4F81BD" w:themeFill="accent1"/>
            <w:vAlign w:val="center"/>
          </w:tcPr>
          <w:p w14:paraId="282319CE">
            <w:pPr>
              <w:widowControl w:val="0"/>
              <w:snapToGrid w:val="0"/>
              <w:ind w:left="0" w:leftChars="0" w:right="0" w:rightChars="0" w:firstLine="0" w:firstLineChars="0"/>
              <w:jc w:val="center"/>
              <w:rPr>
                <w:rFonts w:hint="default" w:ascii="Times New Roman" w:hAnsi="Times New Roman" w:eastAsia="宋体" w:cs="Times New Roman"/>
                <w:b/>
                <w:i w:val="0"/>
                <w:color w:val="FFFFFF"/>
                <w:sz w:val="21"/>
                <w:szCs w:val="21"/>
                <w:vertAlign w:val="baseline"/>
                <w:lang w:val="en-US" w:eastAsia="zh-CN"/>
              </w:rPr>
            </w:pPr>
            <w:r>
              <w:rPr>
                <w:rFonts w:hint="default" w:ascii="Times New Roman" w:hAnsi="Times New Roman" w:eastAsia="宋体" w:cs="Times New Roman"/>
                <w:b/>
                <w:i w:val="0"/>
                <w:color w:val="FFFFFF"/>
                <w:sz w:val="21"/>
                <w:szCs w:val="21"/>
                <w:vertAlign w:val="baseline"/>
                <w:lang w:val="en-US" w:eastAsia="zh-CN"/>
              </w:rPr>
              <w:t>名称</w:t>
            </w:r>
          </w:p>
        </w:tc>
        <w:tc>
          <w:tcPr>
            <w:tcW w:w="2769" w:type="dxa"/>
            <w:tcBorders>
              <w:top w:val="single" w:color="4F81BD" w:themeColor="accent1" w:sz="6" w:space="0"/>
              <w:left w:val="single" w:color="B8CCE4" w:themeColor="accent1" w:themeTint="66" w:sz="6" w:space="0"/>
              <w:bottom w:val="single" w:color="4F81BD" w:themeColor="accent1" w:sz="6" w:space="0"/>
              <w:right w:val="single" w:color="4F81BD" w:themeColor="accent1" w:sz="6" w:space="0"/>
            </w:tcBorders>
            <w:shd w:val="clear" w:color="auto" w:fill="4F81BD" w:themeFill="accent1"/>
            <w:vAlign w:val="center"/>
          </w:tcPr>
          <w:p w14:paraId="5499D251">
            <w:pPr>
              <w:widowControl w:val="0"/>
              <w:snapToGrid w:val="0"/>
              <w:ind w:left="0" w:leftChars="0" w:right="0" w:rightChars="0" w:firstLine="0" w:firstLineChars="0"/>
              <w:jc w:val="center"/>
              <w:rPr>
                <w:rFonts w:hint="default" w:ascii="Times New Roman" w:hAnsi="Times New Roman" w:eastAsia="宋体" w:cs="Times New Roman"/>
                <w:b/>
                <w:i w:val="0"/>
                <w:color w:val="FFFFFF"/>
                <w:sz w:val="21"/>
                <w:szCs w:val="21"/>
                <w:vertAlign w:val="baseline"/>
                <w:lang w:val="en-US" w:eastAsia="zh-CN"/>
              </w:rPr>
            </w:pPr>
            <w:r>
              <w:rPr>
                <w:rFonts w:hint="default" w:ascii="Times New Roman" w:hAnsi="Times New Roman" w:eastAsia="宋体" w:cs="Times New Roman"/>
                <w:b/>
                <w:i w:val="0"/>
                <w:color w:val="FFFFFF"/>
                <w:sz w:val="21"/>
                <w:szCs w:val="21"/>
                <w:vertAlign w:val="baseline"/>
                <w:lang w:val="en-US" w:eastAsia="zh-CN"/>
              </w:rPr>
              <w:t>颁发部门</w:t>
            </w:r>
          </w:p>
        </w:tc>
      </w:tr>
      <w:tr w14:paraId="7120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4F81BD" w:themeColor="accent1"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67E64034">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zh-CN" w:bidi="ar-SA"/>
              </w:rPr>
            </w:pPr>
            <w:r>
              <w:rPr>
                <w:rFonts w:hint="default" w:ascii="Times New Roman" w:hAnsi="Times New Roman" w:eastAsia="宋体" w:cs="Times New Roman"/>
                <w:b w:val="0"/>
                <w:i w:val="0"/>
                <w:color w:val="000000"/>
                <w:sz w:val="21"/>
                <w:szCs w:val="21"/>
                <w:vertAlign w:val="baseline"/>
                <w:lang w:val="en-US" w:eastAsia="zh-CN"/>
              </w:rPr>
              <w:t>1</w:t>
            </w:r>
          </w:p>
        </w:tc>
        <w:tc>
          <w:tcPr>
            <w:tcW w:w="5160" w:type="dxa"/>
            <w:tcBorders>
              <w:top w:val="single" w:color="4F81BD" w:themeColor="accent1"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5B0A00C">
            <w:pPr>
              <w:widowControl w:val="0"/>
              <w:snapToGrid w:val="0"/>
              <w:ind w:left="0" w:leftChars="0" w:right="0" w:rightChars="0" w:firstLine="0" w:firstLineChars="0"/>
              <w:jc w:val="center"/>
              <w:rPr>
                <w:rFonts w:hint="default" w:ascii="Times New Roman" w:hAnsi="Times New Roman" w:eastAsia="宋体" w:cs="Times New Roman"/>
                <w:b w:val="0"/>
                <w:i w:val="0"/>
                <w:sz w:val="21"/>
                <w:szCs w:val="21"/>
                <w:vertAlign w:val="baseline"/>
                <w:lang w:val="en-US" w:eastAsia="zh-CN"/>
              </w:rPr>
            </w:pPr>
            <w:r>
              <w:rPr>
                <w:rFonts w:hint="default" w:ascii="Times New Roman" w:hAnsi="Times New Roman" w:eastAsia="宋体" w:cs="Times New Roman"/>
                <w:b w:val="0"/>
                <w:i w:val="0"/>
                <w:iCs w:val="0"/>
                <w:caps w:val="0"/>
                <w:color w:val="333333"/>
                <w:spacing w:val="0"/>
                <w:sz w:val="21"/>
                <w:szCs w:val="21"/>
                <w:shd w:val="clear" w:fill="FFFFFF"/>
              </w:rPr>
              <w:t>QB/T 8147-2025 食用菌多糖</w:t>
            </w:r>
          </w:p>
        </w:tc>
        <w:tc>
          <w:tcPr>
            <w:tcW w:w="2769" w:type="dxa"/>
            <w:tcBorders>
              <w:top w:val="single" w:color="4F81BD" w:themeColor="accent1"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6897C3EF">
            <w:pPr>
              <w:widowControl w:val="0"/>
              <w:snapToGrid w:val="0"/>
              <w:ind w:left="0" w:leftChars="0" w:right="0" w:rightChars="0" w:firstLine="0" w:firstLineChars="0"/>
              <w:jc w:val="center"/>
              <w:rPr>
                <w:rFonts w:hint="default" w:ascii="Times New Roman" w:hAnsi="Times New Roman" w:eastAsia="宋体" w:cs="Times New Roman"/>
                <w:b w:val="0"/>
                <w:i w:val="0"/>
                <w:color w:val="000000"/>
                <w:sz w:val="21"/>
                <w:szCs w:val="21"/>
                <w:vertAlign w:val="baseline"/>
                <w:lang w:val="en-US" w:eastAsia="zh-CN"/>
              </w:rPr>
            </w:pPr>
            <w:r>
              <w:rPr>
                <w:rFonts w:hint="default" w:ascii="Times New Roman" w:hAnsi="Times New Roman" w:eastAsia="宋体" w:cs="Times New Roman"/>
                <w:b w:val="0"/>
                <w:i w:val="0"/>
                <w:iCs w:val="0"/>
                <w:caps w:val="0"/>
                <w:color w:val="000000"/>
                <w:spacing w:val="0"/>
                <w:sz w:val="21"/>
                <w:szCs w:val="21"/>
                <w:shd w:val="clear" w:fill="FFFFFF"/>
              </w:rPr>
              <w:t>工业和信息化部</w:t>
            </w:r>
          </w:p>
        </w:tc>
      </w:tr>
      <w:tr w14:paraId="7194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662B6DB6">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zh-CN" w:bidi="ar-SA"/>
              </w:rPr>
            </w:pPr>
            <w:r>
              <w:rPr>
                <w:rFonts w:hint="default" w:ascii="Times New Roman" w:hAnsi="Times New Roman" w:eastAsia="宋体" w:cs="Times New Roman"/>
                <w:b w:val="0"/>
                <w:i w:val="0"/>
                <w:color w:val="000000"/>
                <w:sz w:val="21"/>
                <w:szCs w:val="21"/>
                <w:vertAlign w:val="baseline"/>
                <w:lang w:val="en-US" w:eastAsia="zh-CN"/>
              </w:rPr>
              <w:t>2</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A29FD70">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en-US" w:bidi="ar-SA"/>
              </w:rPr>
            </w:pPr>
            <w:r>
              <w:rPr>
                <w:rFonts w:hint="default" w:ascii="Times New Roman" w:hAnsi="Times New Roman" w:eastAsia="宋体" w:cs="Times New Roman"/>
                <w:b w:val="0"/>
                <w:i w:val="0"/>
                <w:iCs w:val="0"/>
                <w:caps w:val="0"/>
                <w:color w:val="333333"/>
                <w:spacing w:val="0"/>
                <w:sz w:val="21"/>
                <w:szCs w:val="21"/>
                <w:shd w:val="clear" w:fill="FFFFFF"/>
              </w:rPr>
              <w:t>NYSL-1015-2024 饲料添加剂 茯苓提取物 （有效成分为β-1,3-D-葡聚糖）</w:t>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5FC08C91">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农业农村部</w:t>
            </w:r>
          </w:p>
        </w:tc>
      </w:tr>
      <w:tr w14:paraId="5F274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3BCDB3DA">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zh-CN" w:bidi="ar-SA"/>
              </w:rPr>
            </w:pPr>
            <w:r>
              <w:rPr>
                <w:rFonts w:hint="default" w:ascii="Times New Roman" w:hAnsi="Times New Roman" w:eastAsia="宋体" w:cs="Times New Roman"/>
                <w:b w:val="0"/>
                <w:i w:val="0"/>
                <w:color w:val="000000"/>
                <w:sz w:val="21"/>
                <w:szCs w:val="21"/>
                <w:vertAlign w:val="baseline"/>
                <w:lang w:val="en-US" w:eastAsia="zh-CN"/>
              </w:rPr>
              <w:t>3</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E071B2A">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T/SDSZC 021-2024 灵芝多糖提取技术规程</w:t>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5E8508DE">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山东省食品质量促进会</w:t>
            </w:r>
          </w:p>
        </w:tc>
      </w:tr>
      <w:tr w14:paraId="26BD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6AF3E0B8">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zh-CN" w:bidi="ar-SA"/>
              </w:rPr>
            </w:pPr>
            <w:r>
              <w:rPr>
                <w:rFonts w:hint="default" w:ascii="Times New Roman" w:hAnsi="Times New Roman" w:eastAsia="宋体" w:cs="Times New Roman"/>
                <w:b w:val="0"/>
                <w:i w:val="0"/>
                <w:color w:val="000000"/>
                <w:sz w:val="21"/>
                <w:szCs w:val="21"/>
                <w:vertAlign w:val="baseline"/>
                <w:lang w:val="en-US" w:eastAsia="zh-CN"/>
              </w:rPr>
              <w:t>4</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3B220A7">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T/CCCMHPIE 1.102-2025 蛹虫草多糖</w:t>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7605CE7B">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中国医药保健品进出口商会</w:t>
            </w:r>
          </w:p>
        </w:tc>
      </w:tr>
      <w:tr w14:paraId="119A7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00EA34B9">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zh-CN" w:bidi="ar-SA"/>
              </w:rPr>
            </w:pPr>
            <w:r>
              <w:rPr>
                <w:rFonts w:hint="default" w:ascii="Times New Roman" w:hAnsi="Times New Roman" w:eastAsia="宋体" w:cs="Times New Roman"/>
                <w:b w:val="0"/>
                <w:i w:val="0"/>
                <w:color w:val="000000"/>
                <w:sz w:val="21"/>
                <w:szCs w:val="21"/>
                <w:vertAlign w:val="baseline"/>
                <w:lang w:val="en-US" w:eastAsia="zh-CN"/>
              </w:rPr>
              <w:t>5</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130FCB4">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T/SFABA 4-2018 银耳多糖</w:t>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0A85E7DF">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rPr>
            </w:pPr>
            <w:r>
              <w:rPr>
                <w:rFonts w:hint="default" w:ascii="Times New Roman" w:hAnsi="Times New Roman" w:eastAsia="宋体" w:cs="Times New Roman"/>
                <w:b w:val="0"/>
                <w:i w:val="0"/>
                <w:iCs w:val="0"/>
                <w:caps w:val="0"/>
                <w:color w:val="000000"/>
                <w:spacing w:val="0"/>
                <w:sz w:val="21"/>
                <w:szCs w:val="21"/>
                <w:shd w:val="clear" w:fill="FFFFFF"/>
              </w:rPr>
              <w:t>上海市食品添加剂和配料</w:t>
            </w:r>
          </w:p>
          <w:p w14:paraId="14DAC7EE">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zh-CN" w:bidi="ar-SA"/>
              </w:rPr>
            </w:pPr>
            <w:r>
              <w:rPr>
                <w:rFonts w:hint="default" w:ascii="Times New Roman" w:hAnsi="Times New Roman" w:eastAsia="宋体" w:cs="Times New Roman"/>
                <w:b w:val="0"/>
                <w:i w:val="0"/>
                <w:iCs w:val="0"/>
                <w:caps w:val="0"/>
                <w:color w:val="000000"/>
                <w:spacing w:val="0"/>
                <w:sz w:val="21"/>
                <w:szCs w:val="21"/>
                <w:shd w:val="clear" w:fill="FFFFFF"/>
              </w:rPr>
              <w:t>行业协会</w:t>
            </w:r>
          </w:p>
        </w:tc>
      </w:tr>
      <w:tr w14:paraId="5B95A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4B9DFEFB">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zh-CN" w:bidi="ar-SA"/>
              </w:rPr>
            </w:pPr>
            <w:r>
              <w:rPr>
                <w:rFonts w:hint="default" w:ascii="Times New Roman" w:hAnsi="Times New Roman" w:eastAsia="宋体" w:cs="Times New Roman"/>
                <w:b w:val="0"/>
                <w:i w:val="0"/>
                <w:color w:val="000000"/>
                <w:sz w:val="21"/>
                <w:szCs w:val="21"/>
                <w:vertAlign w:val="baseline"/>
                <w:lang w:val="en-US" w:eastAsia="zh-CN"/>
              </w:rPr>
              <w:t>6</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F3A69F2">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lang w:val="en-US" w:eastAsia="en-US"/>
              </w:rPr>
            </w:pPr>
            <w:r>
              <w:rPr>
                <w:rFonts w:hint="default" w:ascii="Times New Roman" w:hAnsi="Times New Roman" w:eastAsia="宋体" w:cs="Times New Roman"/>
                <w:b w:val="0"/>
                <w:i w:val="0"/>
                <w:iCs w:val="0"/>
                <w:caps w:val="0"/>
                <w:color w:val="000000"/>
                <w:spacing w:val="0"/>
                <w:sz w:val="21"/>
                <w:szCs w:val="21"/>
                <w:shd w:val="clear" w:fill="FFFFFF"/>
              </w:rPr>
              <w:t>T/FJCA 002-2024 银耳多糖</w:t>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12E90053">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rPr>
            </w:pPr>
            <w:r>
              <w:rPr>
                <w:rFonts w:hint="default" w:ascii="Times New Roman" w:hAnsi="Times New Roman" w:eastAsia="宋体" w:cs="Times New Roman"/>
                <w:b w:val="0"/>
                <w:i w:val="0"/>
                <w:iCs w:val="0"/>
                <w:caps w:val="0"/>
                <w:color w:val="000000"/>
                <w:spacing w:val="0"/>
                <w:sz w:val="21"/>
                <w:szCs w:val="21"/>
                <w:shd w:val="clear" w:fill="FFFFFF"/>
              </w:rPr>
              <w:t>福建省特殊食品</w:t>
            </w:r>
          </w:p>
          <w:p w14:paraId="48BEDA55">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lang w:val="en-US" w:eastAsia="en-US"/>
              </w:rPr>
            </w:pPr>
            <w:r>
              <w:rPr>
                <w:rFonts w:hint="default" w:ascii="Times New Roman" w:hAnsi="Times New Roman" w:eastAsia="宋体" w:cs="Times New Roman"/>
                <w:b w:val="0"/>
                <w:i w:val="0"/>
                <w:iCs w:val="0"/>
                <w:caps w:val="0"/>
                <w:color w:val="000000"/>
                <w:spacing w:val="0"/>
                <w:sz w:val="21"/>
                <w:szCs w:val="21"/>
                <w:shd w:val="clear" w:fill="FFFFFF"/>
              </w:rPr>
              <w:t>与化妆品协会</w:t>
            </w:r>
          </w:p>
        </w:tc>
      </w:tr>
      <w:tr w14:paraId="7ECE0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6FFB7753">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zh-CN" w:bidi="ar-SA"/>
              </w:rPr>
            </w:pPr>
            <w:r>
              <w:rPr>
                <w:rFonts w:hint="default" w:ascii="Times New Roman" w:hAnsi="Times New Roman" w:eastAsia="宋体" w:cs="Times New Roman"/>
                <w:b w:val="0"/>
                <w:i w:val="0"/>
                <w:color w:val="000000"/>
                <w:sz w:val="21"/>
                <w:szCs w:val="21"/>
                <w:vertAlign w:val="baseline"/>
                <w:lang w:val="en-US" w:eastAsia="zh-CN"/>
              </w:rPr>
              <w:t>7</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99B0EA4">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lang w:val="en-US" w:eastAsia="en-US"/>
              </w:rPr>
            </w:pPr>
            <w:r>
              <w:rPr>
                <w:rFonts w:hint="default" w:ascii="Times New Roman" w:hAnsi="Times New Roman" w:eastAsia="宋体" w:cs="Times New Roman"/>
                <w:b w:val="0"/>
                <w:i w:val="0"/>
                <w:iCs w:val="0"/>
                <w:caps w:val="0"/>
                <w:color w:val="000000"/>
                <w:spacing w:val="0"/>
                <w:sz w:val="21"/>
                <w:szCs w:val="21"/>
                <w:shd w:val="clear" w:fill="FFFFFF"/>
              </w:rPr>
              <w:t>T/FDSA 0056-2024 酸性银耳多糖粉</w:t>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1CF5D41F">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rPr>
            </w:pPr>
            <w:r>
              <w:rPr>
                <w:rFonts w:hint="default" w:ascii="Times New Roman" w:hAnsi="Times New Roman" w:eastAsia="宋体" w:cs="Times New Roman"/>
                <w:b w:val="0"/>
                <w:i w:val="0"/>
                <w:iCs w:val="0"/>
                <w:caps w:val="0"/>
                <w:color w:val="000000"/>
                <w:spacing w:val="0"/>
                <w:sz w:val="21"/>
                <w:szCs w:val="21"/>
                <w:shd w:val="clear" w:fill="FFFFFF"/>
              </w:rPr>
              <w:t>中国食品药品企业</w:t>
            </w:r>
          </w:p>
          <w:p w14:paraId="3341F19A">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lang w:val="en-US" w:eastAsia="en-US"/>
              </w:rPr>
            </w:pPr>
            <w:r>
              <w:rPr>
                <w:rFonts w:hint="default" w:ascii="Times New Roman" w:hAnsi="Times New Roman" w:eastAsia="宋体" w:cs="Times New Roman"/>
                <w:b w:val="0"/>
                <w:i w:val="0"/>
                <w:iCs w:val="0"/>
                <w:caps w:val="0"/>
                <w:color w:val="000000"/>
                <w:spacing w:val="0"/>
                <w:sz w:val="21"/>
                <w:szCs w:val="21"/>
                <w:shd w:val="clear" w:fill="FFFFFF"/>
              </w:rPr>
              <w:t>质量安全促进会</w:t>
            </w:r>
          </w:p>
        </w:tc>
      </w:tr>
      <w:tr w14:paraId="73B84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39DDD120">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zh-CN" w:bidi="ar-SA"/>
              </w:rPr>
            </w:pPr>
            <w:r>
              <w:rPr>
                <w:rFonts w:hint="default" w:ascii="Times New Roman" w:hAnsi="Times New Roman" w:eastAsia="宋体" w:cs="Times New Roman"/>
                <w:b w:val="0"/>
                <w:i w:val="0"/>
                <w:color w:val="000000"/>
                <w:sz w:val="21"/>
                <w:szCs w:val="21"/>
                <w:vertAlign w:val="baseline"/>
                <w:lang w:val="en-US" w:eastAsia="zh-CN"/>
              </w:rPr>
              <w:t>8</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68EFDCD">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rPr>
            </w:pPr>
            <w:r>
              <w:rPr>
                <w:rFonts w:hint="default" w:ascii="Times New Roman" w:hAnsi="Times New Roman" w:eastAsia="宋体" w:cs="Times New Roman"/>
                <w:b w:val="0"/>
                <w:i w:val="0"/>
                <w:iCs w:val="0"/>
                <w:caps w:val="0"/>
                <w:color w:val="000000"/>
                <w:spacing w:val="0"/>
                <w:sz w:val="21"/>
                <w:szCs w:val="21"/>
                <w:shd w:val="clear" w:fill="FFFFFF"/>
              </w:rPr>
              <w:t>T/CIET 335-2023 植物多糖绿色生产工艺技术规范</w:t>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0D0DDEFC">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rPr>
            </w:pPr>
            <w:r>
              <w:rPr>
                <w:rFonts w:hint="default" w:ascii="Times New Roman" w:hAnsi="Times New Roman" w:eastAsia="宋体" w:cs="Times New Roman"/>
                <w:b w:val="0"/>
                <w:i w:val="0"/>
                <w:iCs w:val="0"/>
                <w:caps w:val="0"/>
                <w:color w:val="000000"/>
                <w:spacing w:val="0"/>
                <w:sz w:val="21"/>
                <w:szCs w:val="21"/>
                <w:shd w:val="clear" w:fill="FFFFFF"/>
              </w:rPr>
              <w:t>中国国际经济技术</w:t>
            </w:r>
          </w:p>
          <w:p w14:paraId="5DA53AFE">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rPr>
            </w:pPr>
            <w:r>
              <w:rPr>
                <w:rFonts w:hint="default" w:ascii="Times New Roman" w:hAnsi="Times New Roman" w:eastAsia="宋体" w:cs="Times New Roman"/>
                <w:b w:val="0"/>
                <w:i w:val="0"/>
                <w:iCs w:val="0"/>
                <w:caps w:val="0"/>
                <w:color w:val="000000"/>
                <w:spacing w:val="0"/>
                <w:sz w:val="21"/>
                <w:szCs w:val="21"/>
                <w:shd w:val="clear" w:fill="FFFFFF"/>
              </w:rPr>
              <w:t>合作促进会</w:t>
            </w:r>
          </w:p>
        </w:tc>
      </w:tr>
      <w:tr w14:paraId="32EF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39E88526">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zh-CN" w:bidi="ar-SA"/>
              </w:rPr>
            </w:pPr>
            <w:r>
              <w:rPr>
                <w:rFonts w:hint="default" w:ascii="Times New Roman" w:hAnsi="Times New Roman" w:eastAsia="宋体" w:cs="Times New Roman"/>
                <w:b w:val="0"/>
                <w:i w:val="0"/>
                <w:color w:val="000000"/>
                <w:sz w:val="21"/>
                <w:szCs w:val="21"/>
                <w:vertAlign w:val="baseline"/>
                <w:lang w:val="en-US" w:eastAsia="zh-CN"/>
              </w:rPr>
              <w:t>9</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FB1E984">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rPr>
            </w:pPr>
            <w:r>
              <w:rPr>
                <w:rFonts w:hint="default" w:ascii="Times New Roman" w:hAnsi="Times New Roman" w:eastAsia="宋体" w:cs="Times New Roman"/>
                <w:b w:val="0"/>
                <w:i w:val="0"/>
                <w:iCs w:val="0"/>
                <w:caps w:val="0"/>
                <w:color w:val="000000"/>
                <w:spacing w:val="0"/>
                <w:sz w:val="21"/>
                <w:szCs w:val="21"/>
                <w:shd w:val="clear" w:fill="FFFFFF"/>
              </w:rPr>
              <w:t>DB14/T 2380-2021</w:t>
            </w:r>
            <w:r>
              <w:rPr>
                <w:rFonts w:hint="eastAsia" w:ascii="Times New Roman" w:hAnsi="Times New Roman" w:eastAsia="宋体" w:cs="Times New Roman"/>
                <w:b w:val="0"/>
                <w:i w:val="0"/>
                <w:iCs w:val="0"/>
                <w:caps w:val="0"/>
                <w:color w:val="000000"/>
                <w:spacing w:val="0"/>
                <w:sz w:val="21"/>
                <w:szCs w:val="21"/>
                <w:shd w:val="clear" w:fill="FFFFFF"/>
                <w:lang w:val="en-US" w:eastAsia="zh-CN"/>
              </w:rPr>
              <w:t xml:space="preserve"> </w:t>
            </w:r>
            <w:r>
              <w:rPr>
                <w:rFonts w:hint="default" w:ascii="Times New Roman" w:hAnsi="Times New Roman" w:eastAsia="宋体" w:cs="Times New Roman"/>
                <w:b w:val="0"/>
                <w:i w:val="0"/>
                <w:iCs w:val="0"/>
                <w:caps w:val="0"/>
                <w:color w:val="000000"/>
                <w:spacing w:val="0"/>
                <w:sz w:val="21"/>
                <w:szCs w:val="21"/>
                <w:shd w:val="clear" w:fill="FFFFFF"/>
              </w:rPr>
              <w:t>党参多糖提取技术规程</w:t>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1ED4838C">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rPr>
            </w:pPr>
            <w:r>
              <w:rPr>
                <w:rFonts w:hint="default" w:ascii="Times New Roman" w:hAnsi="Times New Roman" w:eastAsia="宋体" w:cs="Times New Roman"/>
                <w:b w:val="0"/>
                <w:i w:val="0"/>
                <w:iCs w:val="0"/>
                <w:caps w:val="0"/>
                <w:color w:val="000000"/>
                <w:spacing w:val="0"/>
                <w:sz w:val="21"/>
                <w:szCs w:val="21"/>
                <w:shd w:val="clear" w:fill="FFFFFF"/>
              </w:rPr>
              <w:t>山西省市场监督管理局</w:t>
            </w:r>
          </w:p>
        </w:tc>
      </w:tr>
      <w:tr w14:paraId="5EEF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7E4043C9">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zh-CN" w:bidi="ar-SA"/>
              </w:rPr>
            </w:pPr>
            <w:r>
              <w:rPr>
                <w:rFonts w:hint="default" w:ascii="Times New Roman" w:hAnsi="Times New Roman" w:eastAsia="宋体" w:cs="Times New Roman"/>
                <w:b w:val="0"/>
                <w:i w:val="0"/>
                <w:color w:val="000000"/>
                <w:sz w:val="21"/>
                <w:szCs w:val="21"/>
                <w:vertAlign w:val="baseline"/>
                <w:lang w:val="en-US" w:eastAsia="zh-CN"/>
              </w:rPr>
              <w:t>10</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F26FA7D">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rPr>
            </w:pPr>
            <w:r>
              <w:rPr>
                <w:rFonts w:hint="default" w:ascii="Times New Roman" w:hAnsi="Times New Roman" w:eastAsia="宋体" w:cs="Times New Roman"/>
                <w:b w:val="0"/>
                <w:i w:val="0"/>
                <w:iCs w:val="0"/>
                <w:caps w:val="0"/>
                <w:color w:val="000000"/>
                <w:spacing w:val="0"/>
                <w:sz w:val="21"/>
                <w:szCs w:val="21"/>
                <w:shd w:val="clear" w:fill="FFFFFF"/>
              </w:rPr>
              <w:fldChar w:fldCharType="begin"/>
            </w:r>
            <w:r>
              <w:rPr>
                <w:rFonts w:hint="default" w:ascii="Times New Roman" w:hAnsi="Times New Roman" w:eastAsia="宋体" w:cs="Times New Roman"/>
                <w:b w:val="0"/>
                <w:i w:val="0"/>
                <w:iCs w:val="0"/>
                <w:caps w:val="0"/>
                <w:color w:val="000000"/>
                <w:spacing w:val="0"/>
                <w:sz w:val="21"/>
                <w:szCs w:val="21"/>
                <w:shd w:val="clear" w:fill="FFFFFF"/>
              </w:rPr>
              <w:instrText xml:space="preserve"> HYPERLINK "https://std.samr.gov.cn/db/search/stdDBDetailed?id=D7B84EB1F29045E9E05397BE0A0AD18E" \t "https://std.samr.gov.cn/search/_blank" </w:instrText>
            </w:r>
            <w:r>
              <w:rPr>
                <w:rFonts w:hint="default" w:ascii="Times New Roman" w:hAnsi="Times New Roman" w:eastAsia="宋体" w:cs="Times New Roman"/>
                <w:b w:val="0"/>
                <w:i w:val="0"/>
                <w:iCs w:val="0"/>
                <w:caps w:val="0"/>
                <w:color w:val="000000"/>
                <w:spacing w:val="0"/>
                <w:sz w:val="21"/>
                <w:szCs w:val="21"/>
                <w:shd w:val="clear" w:fill="FFFFFF"/>
              </w:rPr>
              <w:fldChar w:fldCharType="separate"/>
            </w:r>
            <w:r>
              <w:rPr>
                <w:rFonts w:hint="default" w:ascii="Times New Roman" w:hAnsi="Times New Roman" w:eastAsia="宋体" w:cs="Times New Roman"/>
                <w:b w:val="0"/>
                <w:i w:val="0"/>
                <w:iCs w:val="0"/>
                <w:caps w:val="0"/>
                <w:color w:val="000000"/>
                <w:spacing w:val="0"/>
                <w:sz w:val="21"/>
                <w:szCs w:val="21"/>
                <w:shd w:val="clear" w:fill="FFFFFF"/>
              </w:rPr>
              <w:t>DB14/T 2378-2021 黄精多糖提取技术规程</w:t>
            </w:r>
            <w:r>
              <w:rPr>
                <w:rFonts w:hint="default" w:ascii="Times New Roman" w:hAnsi="Times New Roman" w:eastAsia="宋体" w:cs="Times New Roman"/>
                <w:b w:val="0"/>
                <w:i w:val="0"/>
                <w:iCs w:val="0"/>
                <w:caps w:val="0"/>
                <w:color w:val="000000"/>
                <w:spacing w:val="0"/>
                <w:sz w:val="21"/>
                <w:szCs w:val="21"/>
                <w:shd w:val="clear" w:fill="FFFFFF"/>
              </w:rPr>
              <w:fldChar w:fldCharType="end"/>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727EB553">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rPr>
            </w:pPr>
            <w:r>
              <w:rPr>
                <w:rFonts w:hint="default" w:ascii="Times New Roman" w:hAnsi="Times New Roman" w:eastAsia="宋体" w:cs="Times New Roman"/>
                <w:b w:val="0"/>
                <w:i w:val="0"/>
                <w:iCs w:val="0"/>
                <w:caps w:val="0"/>
                <w:color w:val="000000"/>
                <w:spacing w:val="0"/>
                <w:sz w:val="21"/>
                <w:szCs w:val="21"/>
                <w:shd w:val="clear" w:fill="FFFFFF"/>
              </w:rPr>
              <w:t>山西省药品质量管理标准化技术委员会</w:t>
            </w:r>
          </w:p>
        </w:tc>
      </w:tr>
      <w:tr w14:paraId="3C3C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4E109647">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zh-CN" w:bidi="ar-SA"/>
              </w:rPr>
            </w:pPr>
            <w:r>
              <w:rPr>
                <w:rFonts w:hint="default" w:ascii="Times New Roman" w:hAnsi="Times New Roman" w:eastAsia="宋体" w:cs="Times New Roman"/>
                <w:b w:val="0"/>
                <w:i w:val="0"/>
                <w:color w:val="000000"/>
                <w:sz w:val="21"/>
                <w:szCs w:val="21"/>
                <w:vertAlign w:val="baseline"/>
                <w:lang w:val="en-US" w:eastAsia="zh-CN"/>
              </w:rPr>
              <w:t>11</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5A84ACB">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rPr>
            </w:pPr>
            <w:r>
              <w:rPr>
                <w:rFonts w:hint="default" w:ascii="Times New Roman" w:hAnsi="Times New Roman" w:eastAsia="宋体" w:cs="Times New Roman"/>
                <w:b w:val="0"/>
                <w:i w:val="0"/>
                <w:iCs w:val="0"/>
                <w:caps w:val="0"/>
                <w:color w:val="000000"/>
                <w:spacing w:val="0"/>
                <w:sz w:val="21"/>
                <w:szCs w:val="21"/>
                <w:shd w:val="clear" w:fill="FFFFFF"/>
                <w:lang w:val="en-US" w:eastAsia="zh-CN"/>
              </w:rPr>
              <w:fldChar w:fldCharType="begin"/>
            </w:r>
            <w:r>
              <w:rPr>
                <w:rFonts w:hint="default" w:ascii="Times New Roman" w:hAnsi="Times New Roman" w:eastAsia="宋体" w:cs="Times New Roman"/>
                <w:b w:val="0"/>
                <w:i w:val="0"/>
                <w:iCs w:val="0"/>
                <w:caps w:val="0"/>
                <w:color w:val="000000"/>
                <w:spacing w:val="0"/>
                <w:sz w:val="21"/>
                <w:szCs w:val="21"/>
                <w:shd w:val="clear" w:fill="FFFFFF"/>
                <w:lang w:val="en-US" w:eastAsia="zh-CN"/>
              </w:rPr>
              <w:instrText xml:space="preserve"> HYPERLINK "https://std.samr.gov.cn/db/search/stdDBDetailed?id=A94375DE274310A0E05397BE0A0AA629" \t "https://std.samr.gov.cn/search/_blank" </w:instrText>
            </w:r>
            <w:r>
              <w:rPr>
                <w:rFonts w:hint="default" w:ascii="Times New Roman" w:hAnsi="Times New Roman" w:eastAsia="宋体" w:cs="Times New Roman"/>
                <w:b w:val="0"/>
                <w:i w:val="0"/>
                <w:iCs w:val="0"/>
                <w:caps w:val="0"/>
                <w:color w:val="000000"/>
                <w:spacing w:val="0"/>
                <w:sz w:val="21"/>
                <w:szCs w:val="21"/>
                <w:shd w:val="clear" w:fill="FFFFFF"/>
                <w:lang w:val="en-US" w:eastAsia="zh-CN"/>
              </w:rPr>
              <w:fldChar w:fldCharType="separate"/>
            </w:r>
            <w:r>
              <w:rPr>
                <w:rFonts w:hint="default" w:ascii="Times New Roman" w:hAnsi="Times New Roman" w:eastAsia="宋体" w:cs="Times New Roman"/>
                <w:b w:val="0"/>
                <w:i w:val="0"/>
                <w:iCs w:val="0"/>
                <w:caps w:val="0"/>
                <w:color w:val="000000"/>
                <w:spacing w:val="0"/>
                <w:sz w:val="21"/>
                <w:szCs w:val="21"/>
                <w:shd w:val="clear" w:fill="FFFFFF"/>
              </w:rPr>
              <w:t>DB37/T 3995—2020 松花粉多糖实验室提取技术规程</w:t>
            </w:r>
            <w:r>
              <w:rPr>
                <w:rFonts w:hint="default" w:ascii="Times New Roman" w:hAnsi="Times New Roman" w:eastAsia="宋体" w:cs="Times New Roman"/>
                <w:b w:val="0"/>
                <w:i w:val="0"/>
                <w:iCs w:val="0"/>
                <w:caps w:val="0"/>
                <w:color w:val="000000"/>
                <w:spacing w:val="0"/>
                <w:sz w:val="21"/>
                <w:szCs w:val="21"/>
                <w:shd w:val="clear" w:fill="FFFFFF"/>
                <w:lang w:val="en-US" w:eastAsia="zh-CN"/>
              </w:rPr>
              <w:fldChar w:fldCharType="end"/>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606B0987">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rPr>
            </w:pPr>
            <w:r>
              <w:rPr>
                <w:rFonts w:hint="default" w:ascii="Times New Roman" w:hAnsi="Times New Roman" w:eastAsia="宋体" w:cs="Times New Roman"/>
                <w:b w:val="0"/>
                <w:i w:val="0"/>
                <w:iCs w:val="0"/>
                <w:caps w:val="0"/>
                <w:color w:val="000000"/>
                <w:spacing w:val="0"/>
                <w:sz w:val="21"/>
                <w:szCs w:val="21"/>
                <w:shd w:val="clear" w:fill="FFFFFF"/>
              </w:rPr>
              <w:t>山东省市场监督管理局</w:t>
            </w:r>
          </w:p>
        </w:tc>
      </w:tr>
      <w:tr w14:paraId="6C9E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25C8A24A">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zh-CN" w:bidi="ar-SA"/>
              </w:rPr>
            </w:pPr>
            <w:r>
              <w:rPr>
                <w:rFonts w:hint="default" w:ascii="Times New Roman" w:hAnsi="Times New Roman" w:eastAsia="宋体" w:cs="Times New Roman"/>
                <w:b w:val="0"/>
                <w:i w:val="0"/>
                <w:color w:val="000000"/>
                <w:sz w:val="21"/>
                <w:szCs w:val="21"/>
                <w:vertAlign w:val="baseline"/>
                <w:lang w:val="en-US" w:eastAsia="zh-CN"/>
              </w:rPr>
              <w:t>12</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417527DA">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rPr>
            </w:pPr>
            <w:r>
              <w:rPr>
                <w:rFonts w:hint="default" w:ascii="Times New Roman" w:hAnsi="Times New Roman" w:eastAsia="宋体" w:cs="Times New Roman"/>
                <w:b w:val="0"/>
                <w:i w:val="0"/>
                <w:iCs w:val="0"/>
                <w:caps w:val="0"/>
                <w:color w:val="000000"/>
                <w:spacing w:val="0"/>
                <w:sz w:val="21"/>
                <w:szCs w:val="21"/>
                <w:shd w:val="clear" w:fill="FFFFFF"/>
              </w:rPr>
              <w:t>T/YNBX 398-2025 乌天麻活性多糖加工技术规程</w:t>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43CC9577">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rPr>
            </w:pPr>
            <w:r>
              <w:rPr>
                <w:rFonts w:hint="default" w:ascii="Times New Roman" w:hAnsi="Times New Roman" w:eastAsia="宋体" w:cs="Times New Roman"/>
                <w:b w:val="0"/>
                <w:i w:val="0"/>
                <w:iCs w:val="0"/>
                <w:caps w:val="0"/>
                <w:color w:val="000000"/>
                <w:spacing w:val="0"/>
                <w:sz w:val="21"/>
                <w:szCs w:val="21"/>
                <w:shd w:val="clear" w:fill="FFFFFF"/>
              </w:rPr>
              <w:t>云南省标准化协会</w:t>
            </w:r>
          </w:p>
        </w:tc>
      </w:tr>
      <w:tr w14:paraId="3EAC2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2051E4E3">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zh-CN" w:bidi="ar-SA"/>
              </w:rPr>
            </w:pPr>
            <w:r>
              <w:rPr>
                <w:rFonts w:hint="default" w:ascii="Times New Roman" w:hAnsi="Times New Roman" w:eastAsia="宋体" w:cs="Times New Roman"/>
                <w:b w:val="0"/>
                <w:i w:val="0"/>
                <w:color w:val="000000"/>
                <w:sz w:val="21"/>
                <w:szCs w:val="21"/>
                <w:vertAlign w:val="baseline"/>
                <w:lang w:val="en-US" w:eastAsia="zh-CN"/>
              </w:rPr>
              <w:t>13</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655934D1">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NY/T 1676-2023</w:t>
            </w:r>
            <w:r>
              <w:rPr>
                <w:rFonts w:hint="eastAsia" w:ascii="Times New Roman" w:hAnsi="Times New Roman" w:eastAsia="宋体" w:cs="Times New Roman"/>
                <w:b w:val="0"/>
                <w:i w:val="0"/>
                <w:iCs w:val="0"/>
                <w:caps w:val="0"/>
                <w:color w:val="000000"/>
                <w:spacing w:val="0"/>
                <w:sz w:val="21"/>
                <w:szCs w:val="21"/>
                <w:shd w:val="clear" w:fill="FFFFFF"/>
                <w:lang w:val="en-US" w:eastAsia="zh-CN"/>
              </w:rPr>
              <w:t xml:space="preserve"> </w:t>
            </w:r>
            <w:r>
              <w:rPr>
                <w:rFonts w:hint="default" w:ascii="Times New Roman" w:hAnsi="Times New Roman" w:eastAsia="宋体" w:cs="Times New Roman"/>
                <w:b w:val="0"/>
                <w:i w:val="0"/>
                <w:iCs w:val="0"/>
                <w:caps w:val="0"/>
                <w:color w:val="000000"/>
                <w:spacing w:val="0"/>
                <w:sz w:val="21"/>
                <w:szCs w:val="21"/>
                <w:shd w:val="clear" w:fill="FFFFFF"/>
              </w:rPr>
              <w:t>食用菌中粗多糖的测定 分光光度法</w:t>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0433CD08">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农业农村部</w:t>
            </w:r>
          </w:p>
        </w:tc>
      </w:tr>
      <w:tr w14:paraId="24D6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4DA92C2E">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zh-CN" w:bidi="ar-SA"/>
              </w:rPr>
            </w:pPr>
            <w:r>
              <w:rPr>
                <w:rFonts w:hint="default" w:ascii="Times New Roman" w:hAnsi="Times New Roman" w:eastAsia="宋体" w:cs="Times New Roman"/>
                <w:b w:val="0"/>
                <w:i w:val="0"/>
                <w:color w:val="000000"/>
                <w:sz w:val="21"/>
                <w:szCs w:val="21"/>
                <w:vertAlign w:val="baseline"/>
                <w:lang w:val="en-US" w:eastAsia="zh-CN"/>
              </w:rPr>
              <w:t>14</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A8840CB">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rPr>
            </w:pPr>
            <w:r>
              <w:rPr>
                <w:rFonts w:hint="default" w:ascii="Times New Roman" w:hAnsi="Times New Roman" w:eastAsia="宋体" w:cs="Times New Roman"/>
                <w:b w:val="0"/>
                <w:i w:val="0"/>
                <w:iCs w:val="0"/>
                <w:caps w:val="0"/>
                <w:color w:val="000000"/>
                <w:spacing w:val="0"/>
                <w:sz w:val="21"/>
                <w:szCs w:val="21"/>
                <w:shd w:val="clear" w:fill="FFFFFF"/>
              </w:rPr>
              <w:t xml:space="preserve">GB/T 45733-2025银耳中银耳多糖的测定方法 </w:t>
            </w:r>
          </w:p>
          <w:p w14:paraId="47A3D928">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离子色谱法</w:t>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2017A285">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rPr>
            </w:pPr>
            <w:r>
              <w:rPr>
                <w:rFonts w:hint="default" w:ascii="Times New Roman" w:hAnsi="Times New Roman" w:eastAsia="宋体" w:cs="Times New Roman"/>
                <w:b w:val="0"/>
                <w:i w:val="0"/>
                <w:iCs w:val="0"/>
                <w:caps w:val="0"/>
                <w:color w:val="000000"/>
                <w:spacing w:val="0"/>
                <w:sz w:val="21"/>
                <w:szCs w:val="21"/>
                <w:shd w:val="clear" w:fill="FFFFFF"/>
              </w:rPr>
              <w:t>国家标准化管理委员会,</w:t>
            </w:r>
          </w:p>
          <w:p w14:paraId="4E868BC3">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zh-CN" w:bidi="ar-SA"/>
              </w:rPr>
            </w:pPr>
            <w:r>
              <w:rPr>
                <w:rFonts w:hint="default" w:ascii="Times New Roman" w:hAnsi="Times New Roman" w:eastAsia="宋体" w:cs="Times New Roman"/>
                <w:b w:val="0"/>
                <w:i w:val="0"/>
                <w:iCs w:val="0"/>
                <w:caps w:val="0"/>
                <w:color w:val="000000"/>
                <w:spacing w:val="0"/>
                <w:sz w:val="21"/>
                <w:szCs w:val="21"/>
                <w:shd w:val="clear" w:fill="FFFFFF"/>
              </w:rPr>
              <w:t>国家市场监督管理总局</w:t>
            </w:r>
          </w:p>
        </w:tc>
      </w:tr>
      <w:tr w14:paraId="531D15CC">
        <w:tblPrEx>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66FE4DE9">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zh-CN" w:bidi="ar-SA"/>
              </w:rPr>
            </w:pPr>
            <w:r>
              <w:rPr>
                <w:rFonts w:hint="default" w:ascii="Times New Roman" w:hAnsi="Times New Roman" w:eastAsia="宋体" w:cs="Times New Roman"/>
                <w:b w:val="0"/>
                <w:i w:val="0"/>
                <w:iCs w:val="0"/>
                <w:caps w:val="0"/>
                <w:color w:val="000000"/>
                <w:spacing w:val="0"/>
                <w:sz w:val="21"/>
                <w:szCs w:val="21"/>
                <w:shd w:val="clear" w:fill="FFFFFF"/>
                <w:lang w:val="en-US" w:eastAsia="zh-CN"/>
              </w:rPr>
              <w:t>15</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0653F4F8">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rPr>
            </w:pPr>
            <w:r>
              <w:rPr>
                <w:rFonts w:hint="default" w:ascii="Times New Roman" w:hAnsi="Times New Roman" w:eastAsia="宋体" w:cs="Times New Roman"/>
                <w:b w:val="0"/>
                <w:i w:val="0"/>
                <w:iCs w:val="0"/>
                <w:caps w:val="0"/>
                <w:color w:val="000000"/>
                <w:spacing w:val="0"/>
                <w:sz w:val="21"/>
                <w:szCs w:val="21"/>
                <w:shd w:val="clear" w:fill="FFFFFF"/>
              </w:rPr>
              <w:t xml:space="preserve">DB22/T 2274-2015金针菇中多糖的测定 </w:t>
            </w:r>
          </w:p>
          <w:p w14:paraId="22B71990">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苯酚—硫酸法</w:t>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47B53264">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fldChar w:fldCharType="begin"/>
            </w:r>
            <w:r>
              <w:rPr>
                <w:rFonts w:hint="default" w:ascii="Times New Roman" w:hAnsi="Times New Roman" w:eastAsia="宋体" w:cs="Times New Roman"/>
                <w:b w:val="0"/>
                <w:i w:val="0"/>
                <w:iCs w:val="0"/>
                <w:caps w:val="0"/>
                <w:color w:val="000000"/>
                <w:spacing w:val="0"/>
                <w:sz w:val="21"/>
                <w:szCs w:val="21"/>
                <w:shd w:val="clear" w:fill="FFFFFF"/>
              </w:rPr>
              <w:instrText xml:space="preserve"> HYPERLINK "https://std.samr.gov.cn/search/orgOthers?q=%E5%90%89%E6%9E%97%E7%9C%81%E8%B4%A8%E9%87%8F%E6%8A%80%E6%9C%AF%E7%9B%91%E7%9D%A3%E5%B1%80" \t "https://std.samr.gov.cn/db/search/_blank" </w:instrText>
            </w:r>
            <w:r>
              <w:rPr>
                <w:rFonts w:hint="default" w:ascii="Times New Roman" w:hAnsi="Times New Roman" w:eastAsia="宋体" w:cs="Times New Roman"/>
                <w:b w:val="0"/>
                <w:i w:val="0"/>
                <w:iCs w:val="0"/>
                <w:caps w:val="0"/>
                <w:color w:val="000000"/>
                <w:spacing w:val="0"/>
                <w:sz w:val="21"/>
                <w:szCs w:val="21"/>
                <w:shd w:val="clear" w:fill="FFFFFF"/>
              </w:rPr>
              <w:fldChar w:fldCharType="separate"/>
            </w:r>
            <w:r>
              <w:rPr>
                <w:rFonts w:hint="default" w:ascii="Times New Roman" w:hAnsi="Times New Roman" w:eastAsia="宋体" w:cs="Times New Roman"/>
                <w:b w:val="0"/>
                <w:i w:val="0"/>
                <w:iCs w:val="0"/>
                <w:caps w:val="0"/>
                <w:color w:val="000000"/>
                <w:spacing w:val="0"/>
                <w:sz w:val="21"/>
                <w:szCs w:val="21"/>
                <w:shd w:val="clear" w:fill="FFFFFF"/>
              </w:rPr>
              <w:t>吉林省质量技术监督局</w:t>
            </w:r>
            <w:r>
              <w:rPr>
                <w:rFonts w:hint="default" w:ascii="Times New Roman" w:hAnsi="Times New Roman" w:eastAsia="宋体" w:cs="Times New Roman"/>
                <w:b w:val="0"/>
                <w:i w:val="0"/>
                <w:iCs w:val="0"/>
                <w:caps w:val="0"/>
                <w:color w:val="000000"/>
                <w:spacing w:val="0"/>
                <w:sz w:val="21"/>
                <w:szCs w:val="21"/>
                <w:shd w:val="clear" w:fill="FFFFFF"/>
              </w:rPr>
              <w:fldChar w:fldCharType="end"/>
            </w:r>
          </w:p>
        </w:tc>
      </w:tr>
      <w:tr w14:paraId="40A6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01AA406C">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zh-CN" w:bidi="ar-SA"/>
              </w:rPr>
            </w:pPr>
            <w:r>
              <w:rPr>
                <w:rFonts w:hint="default" w:ascii="Times New Roman" w:hAnsi="Times New Roman" w:eastAsia="宋体" w:cs="Times New Roman"/>
                <w:b w:val="0"/>
                <w:i w:val="0"/>
                <w:iCs w:val="0"/>
                <w:caps w:val="0"/>
                <w:color w:val="000000"/>
                <w:spacing w:val="0"/>
                <w:sz w:val="21"/>
                <w:szCs w:val="21"/>
                <w:shd w:val="clear" w:fill="FFFFFF"/>
                <w:lang w:val="en-US" w:eastAsia="zh-CN"/>
              </w:rPr>
              <w:t>16</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1D84AA8">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rPr>
            </w:pPr>
            <w:r>
              <w:rPr>
                <w:rFonts w:hint="default" w:ascii="Times New Roman" w:hAnsi="Times New Roman" w:eastAsia="宋体" w:cs="Times New Roman"/>
                <w:b w:val="0"/>
                <w:i w:val="0"/>
                <w:iCs w:val="0"/>
                <w:caps w:val="0"/>
                <w:color w:val="000000"/>
                <w:spacing w:val="0"/>
                <w:sz w:val="21"/>
                <w:szCs w:val="21"/>
                <w:shd w:val="clear" w:fill="FFFFFF"/>
              </w:rPr>
              <w:t>T/CSF 0108-2024 灵芝中总多糖、总三萜和水分的</w:t>
            </w:r>
          </w:p>
          <w:p w14:paraId="5BE7CA99">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红外光谱法快速测定技术规程</w:t>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6A59D1AF">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中国林学会</w:t>
            </w:r>
          </w:p>
        </w:tc>
      </w:tr>
      <w:tr w14:paraId="5CC1D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28A92926">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zh-CN" w:bidi="ar-SA"/>
              </w:rPr>
            </w:pPr>
            <w:r>
              <w:rPr>
                <w:rFonts w:hint="default" w:ascii="Times New Roman" w:hAnsi="Times New Roman" w:eastAsia="宋体" w:cs="Times New Roman"/>
                <w:b w:val="0"/>
                <w:i w:val="0"/>
                <w:iCs w:val="0"/>
                <w:caps w:val="0"/>
                <w:color w:val="000000"/>
                <w:spacing w:val="0"/>
                <w:sz w:val="21"/>
                <w:szCs w:val="21"/>
                <w:shd w:val="clear" w:fill="FFFFFF"/>
                <w:lang w:val="en-US" w:eastAsia="zh-CN"/>
              </w:rPr>
              <w:t>17</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FD0D33D">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T/JCBD 02-2024 桑黄中粗多糖的测定</w:t>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22250F1B">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吉林省品牌建设促进会</w:t>
            </w:r>
          </w:p>
        </w:tc>
      </w:tr>
      <w:tr w14:paraId="4A90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05715998">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zh-CN" w:bidi="ar-SA"/>
              </w:rPr>
            </w:pPr>
            <w:r>
              <w:rPr>
                <w:rFonts w:hint="default" w:ascii="Times New Roman" w:hAnsi="Times New Roman" w:eastAsia="宋体" w:cs="Times New Roman"/>
                <w:b w:val="0"/>
                <w:i w:val="0"/>
                <w:iCs w:val="0"/>
                <w:caps w:val="0"/>
                <w:color w:val="000000"/>
                <w:spacing w:val="0"/>
                <w:sz w:val="21"/>
                <w:szCs w:val="21"/>
                <w:shd w:val="clear" w:fill="FFFFFF"/>
                <w:lang w:val="en-US" w:eastAsia="zh-CN"/>
              </w:rPr>
              <w:t>18</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A51E961">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rPr>
            </w:pPr>
            <w:r>
              <w:rPr>
                <w:rFonts w:hint="default" w:ascii="Times New Roman" w:hAnsi="Times New Roman" w:eastAsia="宋体" w:cs="Times New Roman"/>
                <w:b w:val="0"/>
                <w:i w:val="0"/>
                <w:iCs w:val="0"/>
                <w:caps w:val="0"/>
                <w:color w:val="000000"/>
                <w:spacing w:val="0"/>
                <w:sz w:val="21"/>
                <w:szCs w:val="21"/>
                <w:shd w:val="clear" w:fill="FFFFFF"/>
              </w:rPr>
              <w:t>T/JCBD 04-2024 桑黄中多糖的测定</w:t>
            </w:r>
          </w:p>
          <w:p w14:paraId="508750C7">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紫外可见分光光度法</w:t>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283E1876">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吉林省品牌建设促进会</w:t>
            </w:r>
          </w:p>
        </w:tc>
      </w:tr>
      <w:tr w14:paraId="510BA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615A078F">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zh-CN" w:bidi="ar-SA"/>
              </w:rPr>
            </w:pPr>
            <w:r>
              <w:rPr>
                <w:rFonts w:hint="default" w:ascii="Times New Roman" w:hAnsi="Times New Roman" w:eastAsia="宋体" w:cs="Times New Roman"/>
                <w:b w:val="0"/>
                <w:i w:val="0"/>
                <w:iCs w:val="0"/>
                <w:caps w:val="0"/>
                <w:color w:val="000000"/>
                <w:spacing w:val="0"/>
                <w:sz w:val="21"/>
                <w:szCs w:val="21"/>
                <w:shd w:val="clear" w:fill="FFFFFF"/>
                <w:lang w:val="en-US" w:eastAsia="zh-CN"/>
              </w:rPr>
              <w:t>19</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9611BDF">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T/SFABA 3-2018 银耳多糖产品中多糖含量的测定</w:t>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46D43D22">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rPr>
            </w:pPr>
            <w:r>
              <w:rPr>
                <w:rFonts w:hint="default" w:ascii="Times New Roman" w:hAnsi="Times New Roman" w:eastAsia="宋体" w:cs="Times New Roman"/>
                <w:b w:val="0"/>
                <w:i w:val="0"/>
                <w:iCs w:val="0"/>
                <w:caps w:val="0"/>
                <w:color w:val="000000"/>
                <w:spacing w:val="0"/>
                <w:sz w:val="21"/>
                <w:szCs w:val="21"/>
                <w:shd w:val="clear" w:fill="FFFFFF"/>
              </w:rPr>
              <w:t>上海市食品添加剂</w:t>
            </w:r>
          </w:p>
          <w:p w14:paraId="409642FD">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zh-CN" w:bidi="ar-SA"/>
              </w:rPr>
            </w:pPr>
            <w:r>
              <w:rPr>
                <w:rFonts w:hint="default" w:ascii="Times New Roman" w:hAnsi="Times New Roman" w:eastAsia="宋体" w:cs="Times New Roman"/>
                <w:b w:val="0"/>
                <w:i w:val="0"/>
                <w:iCs w:val="0"/>
                <w:caps w:val="0"/>
                <w:color w:val="000000"/>
                <w:spacing w:val="0"/>
                <w:sz w:val="21"/>
                <w:szCs w:val="21"/>
                <w:shd w:val="clear" w:fill="FFFFFF"/>
              </w:rPr>
              <w:t>和配料行业协会</w:t>
            </w:r>
          </w:p>
        </w:tc>
      </w:tr>
      <w:tr w14:paraId="36587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76DC4BD2">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zh-CN" w:bidi="ar-SA"/>
              </w:rPr>
            </w:pPr>
            <w:r>
              <w:rPr>
                <w:rFonts w:hint="default" w:ascii="Times New Roman" w:hAnsi="Times New Roman" w:eastAsia="宋体" w:cs="Times New Roman"/>
                <w:b w:val="0"/>
                <w:i w:val="0"/>
                <w:iCs w:val="0"/>
                <w:caps w:val="0"/>
                <w:color w:val="000000"/>
                <w:spacing w:val="0"/>
                <w:sz w:val="21"/>
                <w:szCs w:val="21"/>
                <w:shd w:val="clear" w:fill="FFFFFF"/>
                <w:lang w:val="en-US" w:eastAsia="zh-CN"/>
              </w:rPr>
              <w:t>20</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91C65F7">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en-US" w:bidi="ar-SA"/>
              </w:rPr>
            </w:pPr>
            <w:r>
              <w:rPr>
                <w:rFonts w:hint="default" w:ascii="Times New Roman" w:hAnsi="Times New Roman" w:eastAsia="宋体" w:cs="Times New Roman"/>
                <w:b w:val="0"/>
                <w:i w:val="0"/>
                <w:color w:val="000000"/>
                <w:sz w:val="21"/>
                <w:szCs w:val="21"/>
                <w:vertAlign w:val="baseline"/>
              </w:rPr>
              <w:t>T/CCCMHPIE 1.83-2023 桦褐孔菌提取物</w:t>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4B424E45">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中国医药保健品进出口商会</w:t>
            </w:r>
          </w:p>
        </w:tc>
      </w:tr>
      <w:tr w14:paraId="42C6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52B49AEB">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zh-CN" w:bidi="ar-SA"/>
              </w:rPr>
            </w:pPr>
            <w:r>
              <w:rPr>
                <w:rFonts w:hint="default" w:ascii="Times New Roman" w:hAnsi="Times New Roman" w:eastAsia="宋体" w:cs="Times New Roman"/>
                <w:b w:val="0"/>
                <w:i w:val="0"/>
                <w:iCs w:val="0"/>
                <w:caps w:val="0"/>
                <w:color w:val="000000"/>
                <w:spacing w:val="0"/>
                <w:sz w:val="21"/>
                <w:szCs w:val="21"/>
                <w:shd w:val="clear" w:fill="FFFFFF"/>
                <w:lang w:val="en-US" w:eastAsia="zh-CN"/>
              </w:rPr>
              <w:t>21</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56B31363">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en-US" w:bidi="ar-SA"/>
              </w:rPr>
            </w:pPr>
            <w:r>
              <w:rPr>
                <w:rFonts w:hint="default" w:ascii="Times New Roman" w:hAnsi="Times New Roman" w:eastAsia="宋体" w:cs="Times New Roman"/>
                <w:b w:val="0"/>
                <w:i w:val="0"/>
                <w:iCs w:val="0"/>
                <w:caps w:val="0"/>
                <w:color w:val="333333"/>
                <w:spacing w:val="0"/>
                <w:sz w:val="21"/>
                <w:szCs w:val="21"/>
                <w:shd w:val="clear" w:fill="FFFFFF"/>
              </w:rPr>
              <w:t>T/CCCMHPIE 1.59-2021 植物提取物 猴头菇提取物</w:t>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5933CD0C">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中国医药保健品进出口商会</w:t>
            </w:r>
          </w:p>
        </w:tc>
      </w:tr>
      <w:tr w14:paraId="47E6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108B6335">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snapToGrid w:val="0"/>
                <w:color w:val="000000"/>
                <w:spacing w:val="0"/>
                <w:kern w:val="0"/>
                <w:sz w:val="21"/>
                <w:szCs w:val="21"/>
                <w:shd w:val="clear" w:fill="FFFFFF"/>
                <w:lang w:val="en-US" w:eastAsia="zh-CN" w:bidi="ar-SA"/>
              </w:rPr>
            </w:pPr>
            <w:r>
              <w:rPr>
                <w:rFonts w:hint="default" w:ascii="Times New Roman" w:hAnsi="Times New Roman" w:eastAsia="宋体" w:cs="Times New Roman"/>
                <w:b w:val="0"/>
                <w:i w:val="0"/>
                <w:iCs w:val="0"/>
                <w:caps w:val="0"/>
                <w:color w:val="000000"/>
                <w:spacing w:val="0"/>
                <w:sz w:val="21"/>
                <w:szCs w:val="21"/>
                <w:shd w:val="clear" w:fill="FFFFFF"/>
                <w:lang w:val="en-US" w:eastAsia="zh-CN"/>
              </w:rPr>
              <w:t>22</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758791A">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en-US" w:bidi="ar-SA"/>
              </w:rPr>
            </w:pPr>
            <w:r>
              <w:rPr>
                <w:rFonts w:hint="default" w:ascii="Times New Roman" w:hAnsi="Times New Roman" w:eastAsia="宋体" w:cs="Times New Roman"/>
                <w:b w:val="0"/>
                <w:i w:val="0"/>
                <w:iCs w:val="0"/>
                <w:caps w:val="0"/>
                <w:color w:val="333333"/>
                <w:spacing w:val="0"/>
                <w:sz w:val="21"/>
                <w:szCs w:val="21"/>
                <w:shd w:val="clear" w:fill="FFFFFF"/>
              </w:rPr>
              <w:t>T/ZZFSA 011-2024 香菇提取物</w:t>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77F2E6A8">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郑州市食品安全协会</w:t>
            </w:r>
          </w:p>
        </w:tc>
      </w:tr>
      <w:tr w14:paraId="71F6A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1353483C">
            <w:pPr>
              <w:widowControl w:val="0"/>
              <w:snapToGrid w:val="0"/>
              <w:ind w:left="0" w:leftChars="0" w:right="0" w:rightChars="0" w:firstLine="0" w:firstLineChars="0"/>
              <w:jc w:val="center"/>
              <w:rPr>
                <w:rFonts w:hint="default" w:ascii="Times New Roman" w:hAnsi="Times New Roman" w:eastAsia="宋体" w:cs="Times New Roman"/>
                <w:b w:val="0"/>
                <w:i w:val="0"/>
                <w:color w:val="000000"/>
                <w:sz w:val="21"/>
                <w:szCs w:val="21"/>
                <w:vertAlign w:val="baseline"/>
                <w:lang w:val="en-US" w:eastAsia="zh-CN"/>
              </w:rPr>
            </w:pPr>
            <w:r>
              <w:rPr>
                <w:rFonts w:hint="eastAsia" w:ascii="Times New Roman" w:hAnsi="Times New Roman" w:eastAsia="宋体" w:cs="Times New Roman"/>
                <w:b w:val="0"/>
                <w:i w:val="0"/>
                <w:color w:val="000000"/>
                <w:sz w:val="21"/>
                <w:szCs w:val="21"/>
                <w:vertAlign w:val="baseline"/>
                <w:lang w:val="en-US" w:eastAsia="zh-CN"/>
              </w:rPr>
              <w:t>23</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2AB673BB">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en-US" w:bidi="ar-SA"/>
              </w:rPr>
            </w:pPr>
            <w:r>
              <w:rPr>
                <w:rFonts w:hint="default" w:ascii="Times New Roman" w:hAnsi="Times New Roman" w:eastAsia="宋体" w:cs="Times New Roman"/>
                <w:b w:val="0"/>
                <w:i w:val="0"/>
                <w:iCs w:val="0"/>
                <w:caps w:val="0"/>
                <w:color w:val="333333"/>
                <w:spacing w:val="0"/>
                <w:sz w:val="21"/>
                <w:szCs w:val="21"/>
                <w:shd w:val="clear" w:fill="FFFFFF"/>
              </w:rPr>
              <w:t>T/FDSA 047-2023 灵芝提取物</w:t>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239D2422">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rPr>
            </w:pPr>
            <w:r>
              <w:rPr>
                <w:rFonts w:hint="default" w:ascii="Times New Roman" w:hAnsi="Times New Roman" w:eastAsia="宋体" w:cs="Times New Roman"/>
                <w:b w:val="0"/>
                <w:i w:val="0"/>
                <w:iCs w:val="0"/>
                <w:caps w:val="0"/>
                <w:color w:val="000000"/>
                <w:spacing w:val="0"/>
                <w:sz w:val="21"/>
                <w:szCs w:val="21"/>
                <w:shd w:val="clear" w:fill="FFFFFF"/>
              </w:rPr>
              <w:t>中国食品药品企业</w:t>
            </w:r>
          </w:p>
          <w:p w14:paraId="429932CC">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质量安全促进会</w:t>
            </w:r>
          </w:p>
        </w:tc>
      </w:tr>
      <w:tr w14:paraId="3B17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1088191D">
            <w:pPr>
              <w:widowControl w:val="0"/>
              <w:snapToGrid w:val="0"/>
              <w:ind w:left="0" w:leftChars="0" w:right="0" w:rightChars="0" w:firstLine="0" w:firstLineChars="0"/>
              <w:jc w:val="center"/>
              <w:rPr>
                <w:rFonts w:hint="default" w:ascii="Times New Roman" w:hAnsi="Times New Roman" w:eastAsia="宋体" w:cs="Times New Roman"/>
                <w:b w:val="0"/>
                <w:i w:val="0"/>
                <w:color w:val="000000"/>
                <w:sz w:val="21"/>
                <w:szCs w:val="21"/>
                <w:vertAlign w:val="baseline"/>
                <w:lang w:val="en-US" w:eastAsia="zh-CN"/>
              </w:rPr>
            </w:pPr>
            <w:r>
              <w:rPr>
                <w:rFonts w:hint="eastAsia" w:ascii="Times New Roman" w:hAnsi="Times New Roman" w:eastAsia="宋体" w:cs="Times New Roman"/>
                <w:b w:val="0"/>
                <w:i w:val="0"/>
                <w:color w:val="000000"/>
                <w:sz w:val="21"/>
                <w:szCs w:val="21"/>
                <w:vertAlign w:val="baseline"/>
                <w:lang w:val="en-US" w:eastAsia="zh-CN"/>
              </w:rPr>
              <w:t>24</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75E8AB00">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en-US" w:bidi="ar-SA"/>
              </w:rPr>
            </w:pPr>
            <w:r>
              <w:rPr>
                <w:rFonts w:hint="default" w:ascii="Times New Roman" w:hAnsi="Times New Roman" w:eastAsia="宋体" w:cs="Times New Roman"/>
                <w:b w:val="0"/>
                <w:i w:val="0"/>
                <w:iCs w:val="0"/>
                <w:caps w:val="0"/>
                <w:color w:val="333333"/>
                <w:spacing w:val="0"/>
                <w:sz w:val="21"/>
                <w:szCs w:val="21"/>
                <w:shd w:val="clear" w:fill="FFFFFF"/>
              </w:rPr>
              <w:t>T/ZHCA 103-2021 猴头菇粉及猴头菇提取物</w:t>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449F1DA7">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浙江省健康产品化妆品行业协会</w:t>
            </w:r>
          </w:p>
        </w:tc>
      </w:tr>
      <w:tr w14:paraId="18B1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20A6408E">
            <w:pPr>
              <w:widowControl w:val="0"/>
              <w:snapToGrid w:val="0"/>
              <w:ind w:left="0" w:leftChars="0" w:right="0" w:rightChars="0" w:firstLine="0" w:firstLineChars="0"/>
              <w:jc w:val="center"/>
              <w:rPr>
                <w:rFonts w:hint="default" w:ascii="Times New Roman" w:hAnsi="Times New Roman" w:eastAsia="宋体" w:cs="Times New Roman"/>
                <w:b w:val="0"/>
                <w:i w:val="0"/>
                <w:color w:val="000000"/>
                <w:sz w:val="21"/>
                <w:szCs w:val="21"/>
                <w:vertAlign w:val="baseline"/>
                <w:lang w:val="en-US" w:eastAsia="zh-CN"/>
              </w:rPr>
            </w:pPr>
            <w:r>
              <w:rPr>
                <w:rFonts w:hint="eastAsia" w:ascii="Times New Roman" w:hAnsi="Times New Roman" w:eastAsia="宋体" w:cs="Times New Roman"/>
                <w:b w:val="0"/>
                <w:i w:val="0"/>
                <w:color w:val="000000"/>
                <w:sz w:val="21"/>
                <w:szCs w:val="21"/>
                <w:vertAlign w:val="baseline"/>
                <w:lang w:val="en-US" w:eastAsia="zh-CN"/>
              </w:rPr>
              <w:t>25</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1971AC51">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333333"/>
                <w:spacing w:val="0"/>
                <w:sz w:val="21"/>
                <w:szCs w:val="21"/>
                <w:shd w:val="clear" w:fill="FFFFFF"/>
              </w:rPr>
            </w:pPr>
            <w:r>
              <w:rPr>
                <w:rFonts w:hint="default" w:ascii="Times New Roman" w:hAnsi="Times New Roman" w:eastAsia="宋体" w:cs="Times New Roman"/>
                <w:b w:val="0"/>
                <w:i w:val="0"/>
                <w:iCs w:val="0"/>
                <w:caps w:val="0"/>
                <w:color w:val="333333"/>
                <w:spacing w:val="0"/>
                <w:sz w:val="21"/>
                <w:szCs w:val="21"/>
                <w:shd w:val="clear" w:fill="FFFFFF"/>
              </w:rPr>
              <w:t xml:space="preserve">T/CCCMHPIE 1.49-2019 植物提取物 </w:t>
            </w:r>
          </w:p>
          <w:p w14:paraId="4E240A5E">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en-US" w:bidi="ar-SA"/>
              </w:rPr>
            </w:pPr>
            <w:r>
              <w:rPr>
                <w:rFonts w:hint="default" w:ascii="Times New Roman" w:hAnsi="Times New Roman" w:eastAsia="宋体" w:cs="Times New Roman"/>
                <w:b w:val="0"/>
                <w:i w:val="0"/>
                <w:iCs w:val="0"/>
                <w:caps w:val="0"/>
                <w:color w:val="333333"/>
                <w:spacing w:val="0"/>
                <w:sz w:val="21"/>
                <w:szCs w:val="21"/>
                <w:shd w:val="clear" w:fill="FFFFFF"/>
              </w:rPr>
              <w:t>灵芝提取物（醇提）</w:t>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0823CF7B">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中国医药保健品进出口商会</w:t>
            </w:r>
          </w:p>
        </w:tc>
      </w:tr>
      <w:tr w14:paraId="03E8A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7A41D81D">
            <w:pPr>
              <w:widowControl w:val="0"/>
              <w:snapToGrid w:val="0"/>
              <w:ind w:left="0" w:leftChars="0" w:right="0" w:rightChars="0" w:firstLine="0" w:firstLineChars="0"/>
              <w:jc w:val="center"/>
              <w:rPr>
                <w:rFonts w:hint="default" w:ascii="Times New Roman" w:hAnsi="Times New Roman" w:eastAsia="宋体" w:cs="Times New Roman"/>
                <w:b w:val="0"/>
                <w:i w:val="0"/>
                <w:color w:val="000000"/>
                <w:sz w:val="21"/>
                <w:szCs w:val="21"/>
                <w:vertAlign w:val="baseline"/>
                <w:lang w:val="en-US" w:eastAsia="zh-CN"/>
              </w:rPr>
            </w:pPr>
            <w:r>
              <w:rPr>
                <w:rFonts w:hint="eastAsia" w:ascii="Times New Roman" w:hAnsi="Times New Roman" w:eastAsia="宋体" w:cs="Times New Roman"/>
                <w:b w:val="0"/>
                <w:i w:val="0"/>
                <w:color w:val="000000"/>
                <w:sz w:val="21"/>
                <w:szCs w:val="21"/>
                <w:vertAlign w:val="baseline"/>
                <w:lang w:val="en-US" w:eastAsia="zh-CN"/>
              </w:rPr>
              <w:t>26</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5BEA8C6">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en-US" w:bidi="ar-SA"/>
              </w:rPr>
            </w:pPr>
            <w:r>
              <w:rPr>
                <w:rFonts w:hint="default" w:ascii="Times New Roman" w:hAnsi="Times New Roman" w:eastAsia="宋体" w:cs="Times New Roman"/>
                <w:b w:val="0"/>
                <w:i w:val="0"/>
                <w:iCs w:val="0"/>
                <w:caps w:val="0"/>
                <w:color w:val="333333"/>
                <w:spacing w:val="0"/>
                <w:sz w:val="21"/>
                <w:szCs w:val="21"/>
                <w:shd w:val="clear" w:fill="FFFFFF"/>
              </w:rPr>
              <w:t>T/CCCMHPIE 1.32-2018 植物提取物 灵芝孢子油</w:t>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2E9CA322">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中国医药保健品进出口商会</w:t>
            </w:r>
          </w:p>
        </w:tc>
      </w:tr>
      <w:tr w14:paraId="188E3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B8CCE4" w:themeColor="accent1" w:themeTint="66" w:sz="6" w:space="0"/>
              <w:right w:val="single" w:color="B8CCE4" w:themeColor="accent1" w:themeTint="66" w:sz="6" w:space="0"/>
            </w:tcBorders>
            <w:shd w:val="clear" w:color="auto" w:fill="FFFFFF"/>
            <w:vAlign w:val="center"/>
          </w:tcPr>
          <w:p w14:paraId="68541229">
            <w:pPr>
              <w:widowControl w:val="0"/>
              <w:snapToGrid w:val="0"/>
              <w:ind w:left="0" w:leftChars="0" w:right="0" w:rightChars="0" w:firstLine="0" w:firstLineChars="0"/>
              <w:jc w:val="center"/>
              <w:rPr>
                <w:rFonts w:hint="default" w:ascii="Times New Roman" w:hAnsi="Times New Roman" w:eastAsia="宋体" w:cs="Times New Roman"/>
                <w:b w:val="0"/>
                <w:i w:val="0"/>
                <w:color w:val="000000"/>
                <w:sz w:val="21"/>
                <w:szCs w:val="21"/>
                <w:vertAlign w:val="baseline"/>
                <w:lang w:val="en-US" w:eastAsia="zh-CN"/>
              </w:rPr>
            </w:pPr>
            <w:r>
              <w:rPr>
                <w:rFonts w:hint="eastAsia" w:ascii="Times New Roman" w:hAnsi="Times New Roman" w:eastAsia="宋体" w:cs="Times New Roman"/>
                <w:b w:val="0"/>
                <w:i w:val="0"/>
                <w:color w:val="000000"/>
                <w:sz w:val="21"/>
                <w:szCs w:val="21"/>
                <w:vertAlign w:val="baseline"/>
                <w:lang w:val="en-US" w:eastAsia="zh-CN"/>
              </w:rPr>
              <w:t>27</w:t>
            </w:r>
          </w:p>
        </w:tc>
        <w:tc>
          <w:tcPr>
            <w:tcW w:w="5160" w:type="dxa"/>
            <w:tcBorders>
              <w:top w:val="single" w:color="B8CCE4" w:themeColor="accent1" w:themeTint="66" w:sz="6" w:space="0"/>
              <w:left w:val="single" w:color="B8CCE4" w:themeColor="accent1" w:themeTint="66" w:sz="6" w:space="0"/>
              <w:bottom w:val="single" w:color="B8CCE4" w:themeColor="accent1" w:themeTint="66" w:sz="6" w:space="0"/>
              <w:right w:val="single" w:color="B8CCE4" w:themeColor="accent1" w:themeTint="66" w:sz="6" w:space="0"/>
            </w:tcBorders>
            <w:shd w:val="clear" w:color="auto" w:fill="FFFFFF"/>
            <w:vAlign w:val="center"/>
          </w:tcPr>
          <w:p w14:paraId="3F21A9BF">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333333"/>
                <w:spacing w:val="0"/>
                <w:sz w:val="21"/>
                <w:szCs w:val="21"/>
                <w:shd w:val="clear" w:fill="FFFFFF"/>
              </w:rPr>
            </w:pPr>
            <w:r>
              <w:rPr>
                <w:rFonts w:hint="default" w:ascii="Times New Roman" w:hAnsi="Times New Roman" w:eastAsia="宋体" w:cs="Times New Roman"/>
                <w:b w:val="0"/>
                <w:i w:val="0"/>
                <w:iCs w:val="0"/>
                <w:caps w:val="0"/>
                <w:color w:val="333333"/>
                <w:spacing w:val="0"/>
                <w:sz w:val="21"/>
                <w:szCs w:val="21"/>
                <w:shd w:val="clear" w:fill="FFFFFF"/>
              </w:rPr>
              <w:t xml:space="preserve">T/CCCMHPIE 1.13-2016 植物提取物 </w:t>
            </w:r>
          </w:p>
          <w:p w14:paraId="2D1F7446">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en-US" w:bidi="ar-SA"/>
              </w:rPr>
            </w:pPr>
            <w:r>
              <w:rPr>
                <w:rFonts w:hint="default" w:ascii="Times New Roman" w:hAnsi="Times New Roman" w:eastAsia="宋体" w:cs="Times New Roman"/>
                <w:b w:val="0"/>
                <w:i w:val="0"/>
                <w:iCs w:val="0"/>
                <w:caps w:val="0"/>
                <w:color w:val="333333"/>
                <w:spacing w:val="0"/>
                <w:sz w:val="21"/>
                <w:szCs w:val="21"/>
                <w:shd w:val="clear" w:fill="FFFFFF"/>
              </w:rPr>
              <w:t>灵芝提取物（水提）</w:t>
            </w:r>
          </w:p>
        </w:tc>
        <w:tc>
          <w:tcPr>
            <w:tcW w:w="2769" w:type="dxa"/>
            <w:tcBorders>
              <w:top w:val="single" w:color="B8CCE4" w:themeColor="accent1" w:themeTint="66" w:sz="6" w:space="0"/>
              <w:left w:val="single" w:color="B8CCE4" w:themeColor="accent1" w:themeTint="66" w:sz="6" w:space="0"/>
              <w:bottom w:val="single" w:color="B8CCE4" w:themeColor="accent1" w:themeTint="66" w:sz="6" w:space="0"/>
              <w:right w:val="single" w:color="4F81BD" w:themeColor="accent1" w:sz="6" w:space="0"/>
            </w:tcBorders>
            <w:shd w:val="clear" w:color="auto" w:fill="FFFFFF"/>
            <w:vAlign w:val="center"/>
          </w:tcPr>
          <w:p w14:paraId="35EF0B62">
            <w:pPr>
              <w:widowControl w:val="0"/>
              <w:snapToGrid w:val="0"/>
              <w:ind w:left="0" w:leftChars="0" w:right="0" w:rightChars="0" w:firstLine="0" w:firstLineChars="0"/>
              <w:jc w:val="center"/>
              <w:rPr>
                <w:rFonts w:hint="default" w:ascii="Times New Roman" w:hAnsi="Times New Roman" w:eastAsia="宋体" w:cs="Times New Roman"/>
                <w:b w:val="0"/>
                <w:i w:val="0"/>
                <w:snapToGrid w:val="0"/>
                <w:color w:val="000000"/>
                <w:kern w:val="0"/>
                <w:sz w:val="21"/>
                <w:szCs w:val="21"/>
                <w:vertAlign w:val="baseline"/>
                <w:lang w:val="en-US" w:eastAsia="en-US" w:bidi="ar-SA"/>
              </w:rPr>
            </w:pPr>
            <w:r>
              <w:rPr>
                <w:rFonts w:hint="default" w:ascii="Times New Roman" w:hAnsi="Times New Roman" w:eastAsia="宋体" w:cs="Times New Roman"/>
                <w:b w:val="0"/>
                <w:i w:val="0"/>
                <w:iCs w:val="0"/>
                <w:caps w:val="0"/>
                <w:color w:val="000000"/>
                <w:spacing w:val="0"/>
                <w:sz w:val="21"/>
                <w:szCs w:val="21"/>
                <w:shd w:val="clear" w:fill="FFFFFF"/>
              </w:rPr>
              <w:t>中国医药保健品进出口商会</w:t>
            </w:r>
          </w:p>
        </w:tc>
      </w:tr>
      <w:tr w14:paraId="2B585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3" w:type="dxa"/>
            <w:tcBorders>
              <w:top w:val="single" w:color="B8CCE4" w:themeColor="accent1" w:themeTint="66" w:sz="6" w:space="0"/>
              <w:left w:val="single" w:color="4F81BD" w:themeColor="accent1" w:sz="6" w:space="0"/>
              <w:bottom w:val="single" w:color="4F81BD" w:themeColor="accent1" w:sz="6" w:space="0"/>
              <w:right w:val="single" w:color="B8CCE4" w:themeColor="accent1" w:themeTint="66" w:sz="6" w:space="0"/>
            </w:tcBorders>
            <w:shd w:val="clear" w:color="auto" w:fill="FFFFFF"/>
            <w:vAlign w:val="center"/>
          </w:tcPr>
          <w:p w14:paraId="74E31F83">
            <w:pPr>
              <w:widowControl w:val="0"/>
              <w:snapToGrid w:val="0"/>
              <w:ind w:left="0" w:leftChars="0" w:right="0" w:rightChars="0" w:firstLine="0" w:firstLineChars="0"/>
              <w:jc w:val="center"/>
              <w:rPr>
                <w:rFonts w:hint="default" w:ascii="Times New Roman" w:hAnsi="Times New Roman" w:eastAsia="宋体" w:cs="Times New Roman"/>
                <w:b w:val="0"/>
                <w:i w:val="0"/>
                <w:color w:val="000000"/>
                <w:sz w:val="21"/>
                <w:szCs w:val="21"/>
                <w:vertAlign w:val="baseline"/>
                <w:lang w:val="en-US" w:eastAsia="zh-CN"/>
              </w:rPr>
            </w:pPr>
            <w:r>
              <w:rPr>
                <w:rFonts w:hint="eastAsia" w:ascii="Times New Roman" w:hAnsi="Times New Roman" w:eastAsia="宋体" w:cs="Times New Roman"/>
                <w:b w:val="0"/>
                <w:i w:val="0"/>
                <w:color w:val="000000"/>
                <w:sz w:val="21"/>
                <w:szCs w:val="21"/>
                <w:vertAlign w:val="baseline"/>
                <w:lang w:val="en-US" w:eastAsia="zh-CN"/>
              </w:rPr>
              <w:t>28</w:t>
            </w:r>
          </w:p>
        </w:tc>
        <w:tc>
          <w:tcPr>
            <w:tcW w:w="5160" w:type="dxa"/>
            <w:tcBorders>
              <w:top w:val="single" w:color="B8CCE4" w:themeColor="accent1" w:themeTint="66" w:sz="6" w:space="0"/>
              <w:left w:val="single" w:color="B8CCE4" w:themeColor="accent1" w:themeTint="66" w:sz="6" w:space="0"/>
              <w:bottom w:val="single" w:color="4F81BD" w:themeColor="accent1" w:sz="6" w:space="0"/>
              <w:right w:val="single" w:color="B8CCE4" w:themeColor="accent1" w:themeTint="66" w:sz="6" w:space="0"/>
            </w:tcBorders>
            <w:shd w:val="clear" w:color="auto" w:fill="FFFFFF"/>
            <w:vAlign w:val="center"/>
          </w:tcPr>
          <w:p w14:paraId="052C4D9A">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lang w:val="en-US" w:eastAsia="zh-CN"/>
              </w:rPr>
            </w:pPr>
            <w:r>
              <w:rPr>
                <w:rFonts w:hint="eastAsia" w:ascii="Times New Roman" w:hAnsi="Times New Roman" w:eastAsia="宋体" w:cs="Times New Roman"/>
                <w:b w:val="0"/>
                <w:i w:val="0"/>
                <w:iCs w:val="0"/>
                <w:caps w:val="0"/>
                <w:color w:val="000000"/>
                <w:spacing w:val="0"/>
                <w:sz w:val="21"/>
                <w:szCs w:val="21"/>
                <w:shd w:val="clear" w:fill="FFFFFF"/>
                <w:lang w:val="en-US" w:eastAsia="zh-CN"/>
              </w:rPr>
              <w:t>大球盖菇多糖提取技术规程</w:t>
            </w:r>
          </w:p>
        </w:tc>
        <w:tc>
          <w:tcPr>
            <w:tcW w:w="2769" w:type="dxa"/>
            <w:tcBorders>
              <w:top w:val="single" w:color="B8CCE4" w:themeColor="accent1" w:themeTint="66" w:sz="6" w:space="0"/>
              <w:left w:val="single" w:color="B8CCE4" w:themeColor="accent1" w:themeTint="66" w:sz="6" w:space="0"/>
              <w:bottom w:val="single" w:color="4F81BD" w:themeColor="accent1" w:sz="6" w:space="0"/>
              <w:right w:val="single" w:color="4F81BD" w:themeColor="accent1" w:sz="6" w:space="0"/>
            </w:tcBorders>
            <w:shd w:val="clear" w:color="auto" w:fill="FFFFFF"/>
            <w:vAlign w:val="center"/>
          </w:tcPr>
          <w:p w14:paraId="5BD2E62F">
            <w:pPr>
              <w:widowControl w:val="0"/>
              <w:snapToGrid w:val="0"/>
              <w:ind w:left="0" w:leftChars="0" w:right="0" w:rightChars="0" w:firstLine="0" w:firstLineChars="0"/>
              <w:jc w:val="center"/>
              <w:rPr>
                <w:rFonts w:hint="default" w:ascii="Times New Roman" w:hAnsi="Times New Roman" w:eastAsia="宋体" w:cs="Times New Roman"/>
                <w:b w:val="0"/>
                <w:i w:val="0"/>
                <w:iCs w:val="0"/>
                <w:caps w:val="0"/>
                <w:color w:val="000000"/>
                <w:spacing w:val="0"/>
                <w:sz w:val="21"/>
                <w:szCs w:val="21"/>
                <w:shd w:val="clear" w:fill="FFFFFF"/>
                <w:lang w:val="en-US" w:eastAsia="zh-CN"/>
              </w:rPr>
            </w:pPr>
            <w:r>
              <w:rPr>
                <w:rFonts w:hint="eastAsia" w:ascii="Times New Roman" w:hAnsi="Times New Roman" w:eastAsia="宋体" w:cs="Times New Roman"/>
                <w:b w:val="0"/>
                <w:i w:val="0"/>
                <w:iCs w:val="0"/>
                <w:caps w:val="0"/>
                <w:color w:val="000000"/>
                <w:spacing w:val="0"/>
                <w:sz w:val="21"/>
                <w:szCs w:val="21"/>
                <w:shd w:val="clear" w:fill="FFFFFF"/>
                <w:lang w:val="en-US" w:eastAsia="zh-CN"/>
              </w:rPr>
              <w:t>湖南省市场监督局</w:t>
            </w:r>
          </w:p>
        </w:tc>
      </w:tr>
    </w:tbl>
    <w:p w14:paraId="56E7A52C">
      <w:pPr>
        <w:widowControl w:val="0"/>
        <w:kinsoku/>
        <w:autoSpaceDE/>
        <w:autoSpaceDN/>
        <w:adjustRightInd/>
        <w:snapToGrid/>
        <w:spacing w:line="360" w:lineRule="auto"/>
        <w:ind w:firstLine="480" w:firstLineChars="200"/>
        <w:jc w:val="both"/>
        <w:textAlignment w:val="auto"/>
        <w:rPr>
          <w:rFonts w:hint="eastAsia" w:ascii="仿宋" w:hAnsi="仿宋" w:eastAsia="仿宋" w:cs="Times New Roman"/>
          <w:snapToGrid/>
          <w:kern w:val="2"/>
          <w:sz w:val="24"/>
          <w:szCs w:val="24"/>
          <w:lang w:val="en-US" w:eastAsia="zh-CN"/>
        </w:rPr>
      </w:pPr>
      <w:r>
        <w:rPr>
          <w:rFonts w:hint="eastAsia" w:ascii="仿宋" w:hAnsi="仿宋" w:eastAsia="仿宋" w:cs="Times New Roman"/>
          <w:snapToGrid/>
          <w:kern w:val="2"/>
          <w:sz w:val="24"/>
          <w:szCs w:val="24"/>
          <w:lang w:val="en-US" w:eastAsia="zh-CN"/>
        </w:rPr>
        <w:t>这些标准涉及了植物、菌类多糖、提取物的质量标准、检测标准和一些技术规程。但没有针对“蛹虫草多糖”有专门的提取技术规程，对蛹虫草多糖提取过程中一些重要技术步骤缺乏指导性的描述，不利于相应标准指导实践。本行业标准的制定对于指导相关行业，促进相关企业产品发展具有重要作用。</w:t>
      </w:r>
    </w:p>
    <w:p w14:paraId="72F74339">
      <w:pPr>
        <w:widowControl w:val="0"/>
        <w:kinsoku/>
        <w:autoSpaceDE/>
        <w:autoSpaceDN/>
        <w:adjustRightInd/>
        <w:snapToGrid/>
        <w:spacing w:line="360" w:lineRule="auto"/>
        <w:ind w:firstLine="480" w:firstLineChars="200"/>
        <w:jc w:val="both"/>
        <w:textAlignment w:val="auto"/>
        <w:rPr>
          <w:rFonts w:hint="eastAsia" w:ascii="仿宋" w:hAnsi="仿宋" w:eastAsia="仿宋" w:cs="Times New Roman"/>
          <w:snapToGrid/>
          <w:kern w:val="2"/>
          <w:sz w:val="24"/>
          <w:szCs w:val="24"/>
          <w:lang w:val="en-US" w:eastAsia="zh-CN"/>
        </w:rPr>
      </w:pPr>
      <w:r>
        <w:rPr>
          <w:rFonts w:hint="eastAsia" w:ascii="仿宋" w:hAnsi="仿宋" w:eastAsia="仿宋" w:cs="Times New Roman"/>
          <w:snapToGrid/>
          <w:kern w:val="2"/>
          <w:sz w:val="24"/>
          <w:szCs w:val="24"/>
          <w:lang w:val="en-US" w:eastAsia="zh-CN"/>
        </w:rPr>
        <w:t>2023年，我国植物提取物出口额33.2亿美元，占全球市场份额超过20%，居世界第一。在提取物产能、技术等均具有一定的优势。蛹虫草多糖领域正经历从“资源驱动”向“技术驱动”的转型，国内外市场呈现“高端化、功能化、国际化”趋势。国内需在技术创新、标准接轨和品牌建设上突破，而国际市场则需应对法规壁垒和竞争压力。通过政策引导、产学研协同和绿色制造，蛹虫草多糖有望成为推动大健康产业发展的核心引擎。</w:t>
      </w:r>
    </w:p>
    <w:p w14:paraId="699FCD9D">
      <w:pPr>
        <w:widowControl w:val="0"/>
        <w:kinsoku/>
        <w:autoSpaceDE/>
        <w:autoSpaceDN/>
        <w:adjustRightInd/>
        <w:snapToGrid/>
        <w:spacing w:line="360" w:lineRule="auto"/>
        <w:ind w:firstLine="480" w:firstLineChars="200"/>
        <w:jc w:val="both"/>
        <w:textAlignment w:val="auto"/>
        <w:rPr>
          <w:rFonts w:hint="eastAsia" w:ascii="仿宋" w:hAnsi="仿宋" w:eastAsia="仿宋" w:cs="Times New Roman"/>
          <w:snapToGrid/>
          <w:kern w:val="2"/>
          <w:sz w:val="24"/>
          <w:szCs w:val="24"/>
          <w:lang w:val="en-US" w:eastAsia="zh-CN"/>
        </w:rPr>
      </w:pPr>
      <w:r>
        <w:rPr>
          <w:rFonts w:hint="eastAsia" w:ascii="仿宋" w:hAnsi="仿宋" w:eastAsia="仿宋" w:cs="Times New Roman"/>
          <w:snapToGrid/>
          <w:kern w:val="2"/>
          <w:sz w:val="24"/>
          <w:szCs w:val="24"/>
          <w:lang w:val="en-US" w:eastAsia="zh-CN"/>
        </w:rPr>
        <w:t xml:space="preserve"> 经全国标准信息公共服务平台检索，现有标准多侧重产品质量或子实体生产，未有明确针对蛹虫草多糖生产技术的规程，制定的蛹虫草多糖提取技术规程行业标准与现有标准并未重复性冲突，且可填补工艺流程、设备参数、安全控制等空白，与T/CCCMHPIE 1.102-2025形成技术-质量配套标准，具体情况如下：</w:t>
      </w:r>
    </w:p>
    <w:p w14:paraId="435C013D">
      <w:pPr>
        <w:widowControl w:val="0"/>
        <w:kinsoku/>
        <w:autoSpaceDE/>
        <w:autoSpaceDN/>
        <w:adjustRightInd/>
        <w:snapToGrid/>
        <w:spacing w:line="360" w:lineRule="auto"/>
        <w:ind w:firstLine="480" w:firstLineChars="200"/>
        <w:jc w:val="both"/>
        <w:textAlignment w:val="auto"/>
        <w:rPr>
          <w:rFonts w:hint="eastAsia" w:ascii="仿宋" w:hAnsi="仿宋" w:eastAsia="仿宋" w:cs="Times New Roman"/>
          <w:snapToGrid/>
          <w:kern w:val="2"/>
          <w:sz w:val="24"/>
          <w:szCs w:val="24"/>
          <w:lang w:val="en-US" w:eastAsia="zh-CN"/>
        </w:rPr>
      </w:pPr>
      <w:r>
        <w:rPr>
          <w:rFonts w:hint="eastAsia" w:ascii="仿宋" w:hAnsi="仿宋" w:eastAsia="仿宋" w:cs="Times New Roman"/>
          <w:snapToGrid/>
          <w:kern w:val="2"/>
          <w:sz w:val="24"/>
          <w:szCs w:val="24"/>
          <w:lang w:val="en-US" w:eastAsia="zh-CN"/>
        </w:rPr>
        <w:t>《蛹虫草》国家标准于2024年5月立项，尚未正式发布，文件适用于蛹虫草的鲜品和干制品，与本项目多糖生产技术规范无重复。</w:t>
      </w:r>
    </w:p>
    <w:p w14:paraId="3CBBBBCE">
      <w:pPr>
        <w:widowControl w:val="0"/>
        <w:kinsoku/>
        <w:autoSpaceDE/>
        <w:autoSpaceDN/>
        <w:adjustRightInd/>
        <w:snapToGrid/>
        <w:spacing w:line="360" w:lineRule="auto"/>
        <w:ind w:firstLine="480" w:firstLineChars="200"/>
        <w:jc w:val="both"/>
        <w:textAlignment w:val="auto"/>
        <w:rPr>
          <w:rFonts w:hint="eastAsia" w:ascii="仿宋" w:hAnsi="仿宋" w:eastAsia="仿宋" w:cs="Times New Roman"/>
          <w:snapToGrid/>
          <w:kern w:val="2"/>
          <w:sz w:val="24"/>
          <w:szCs w:val="24"/>
          <w:lang w:val="en-US" w:eastAsia="zh-CN"/>
        </w:rPr>
      </w:pPr>
      <w:r>
        <w:rPr>
          <w:rFonts w:hint="eastAsia" w:ascii="仿宋" w:hAnsi="仿宋" w:eastAsia="仿宋" w:cs="Times New Roman"/>
          <w:snapToGrid/>
          <w:kern w:val="2"/>
          <w:sz w:val="24"/>
          <w:szCs w:val="24"/>
          <w:lang w:val="en-US" w:eastAsia="zh-CN"/>
        </w:rPr>
        <w:t>相关行业标准如下：GH/T 1331-2021《蛹虫草子实体生产技术规程》，GH/T 1441-2023 《冻干蛹虫草生产技术规程》分别规范子实体生产和冻干产品技术工艺，与多糖生产的发酵、提取工艺无直接重复；GH/T 1443-2023《蛹虫草粉》，GH/T 1404-2022《鲜蛹虫草》，GH/T 1240-2019《干制蛹虫草》则分别针对蛹虫草粉剂产品、鲜品和干制品提出产品质量要求，均未涉及多糖提取相关技术与工艺。</w:t>
      </w:r>
    </w:p>
    <w:p w14:paraId="47A7662F">
      <w:pPr>
        <w:widowControl w:val="0"/>
        <w:kinsoku/>
        <w:autoSpaceDE/>
        <w:autoSpaceDN/>
        <w:adjustRightInd/>
        <w:snapToGrid/>
        <w:spacing w:line="360" w:lineRule="auto"/>
        <w:ind w:firstLine="480" w:firstLineChars="200"/>
        <w:jc w:val="both"/>
        <w:textAlignment w:val="auto"/>
        <w:rPr>
          <w:rFonts w:hint="eastAsia" w:ascii="仿宋" w:hAnsi="仿宋" w:eastAsia="仿宋" w:cs="Times New Roman"/>
          <w:snapToGrid/>
          <w:kern w:val="2"/>
          <w:sz w:val="24"/>
          <w:szCs w:val="24"/>
          <w:lang w:val="en-US" w:eastAsia="zh-CN"/>
        </w:rPr>
      </w:pPr>
      <w:r>
        <w:rPr>
          <w:rFonts w:hint="eastAsia" w:ascii="仿宋" w:hAnsi="仿宋" w:eastAsia="仿宋" w:cs="Times New Roman"/>
          <w:snapToGrid/>
          <w:kern w:val="2"/>
          <w:sz w:val="24"/>
          <w:szCs w:val="24"/>
          <w:lang w:val="en-US" w:eastAsia="zh-CN"/>
        </w:rPr>
        <w:t>团体标准T/CCCMHPIE 1.102-2025《蛹虫草多糖》，已于2025年4月发布，聚焦多糖的质量指标，但未详细规定生产技术流程。本项目拟申报标准可直接引用T/CCCMHPIE 1.102-2025的多糖含量的检测方法，保障技术规范与质量标准的统一。</w:t>
      </w:r>
    </w:p>
    <w:p w14:paraId="6691C00C">
      <w:pPr>
        <w:widowControl w:val="0"/>
        <w:kinsoku/>
        <w:autoSpaceDE/>
        <w:autoSpaceDN/>
        <w:adjustRightInd/>
        <w:snapToGrid/>
        <w:spacing w:line="360" w:lineRule="auto"/>
        <w:ind w:firstLine="480" w:firstLineChars="200"/>
        <w:jc w:val="both"/>
        <w:textAlignment w:val="auto"/>
        <w:rPr>
          <w:rFonts w:hint="eastAsia" w:ascii="仿宋" w:hAnsi="仿宋" w:eastAsia="仿宋" w:cs="Times New Roman"/>
          <w:snapToGrid/>
          <w:kern w:val="2"/>
          <w:sz w:val="24"/>
          <w:szCs w:val="24"/>
          <w:lang w:val="en-US" w:eastAsia="zh-CN"/>
        </w:rPr>
      </w:pPr>
      <w:r>
        <w:rPr>
          <w:rFonts w:hint="eastAsia" w:ascii="仿宋" w:hAnsi="仿宋" w:eastAsia="仿宋" w:cs="Times New Roman"/>
          <w:snapToGrid/>
          <w:kern w:val="2"/>
          <w:sz w:val="24"/>
          <w:szCs w:val="24"/>
          <w:lang w:val="en-US" w:eastAsia="zh-CN"/>
        </w:rPr>
        <w:t>各省地方标准多项也均以菌种、生产技术规程和产品为主要内容，并未涉及多糖生产工艺。</w:t>
      </w:r>
    </w:p>
    <w:p w14:paraId="18B8BAD0">
      <w:pPr>
        <w:spacing w:line="360" w:lineRule="auto"/>
        <w:ind w:firstLine="480" w:firstLineChars="200"/>
        <w:rPr>
          <w:rFonts w:ascii="楷体" w:hAnsi="楷体" w:eastAsia="楷体"/>
          <w:sz w:val="24"/>
          <w:szCs w:val="24"/>
        </w:rPr>
      </w:pPr>
      <w:bookmarkStart w:id="6" w:name="_Toc7837"/>
      <w:r>
        <w:rPr>
          <w:rFonts w:hint="eastAsia" w:ascii="楷体" w:hAnsi="楷体" w:eastAsia="楷体"/>
          <w:sz w:val="24"/>
          <w:szCs w:val="24"/>
        </w:rPr>
        <w:t>（三）起草过程</w:t>
      </w:r>
    </w:p>
    <w:p w14:paraId="15BBC05E">
      <w:pPr>
        <w:spacing w:line="360" w:lineRule="auto"/>
        <w:ind w:firstLine="482" w:firstLineChars="200"/>
        <w:rPr>
          <w:rFonts w:ascii="仿宋" w:hAnsi="仿宋" w:eastAsia="仿宋"/>
          <w:b/>
          <w:sz w:val="24"/>
          <w:szCs w:val="24"/>
        </w:rPr>
      </w:pPr>
      <w:r>
        <w:rPr>
          <w:rFonts w:hint="eastAsia" w:ascii="仿宋" w:hAnsi="仿宋" w:eastAsia="仿宋"/>
          <w:b/>
          <w:sz w:val="24"/>
          <w:szCs w:val="24"/>
        </w:rPr>
        <w:t>1.起草（草案、论证）阶段</w:t>
      </w:r>
    </w:p>
    <w:p w14:paraId="73F4C0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sz w:val="24"/>
          <w:szCs w:val="24"/>
        </w:rPr>
      </w:pPr>
      <w:r>
        <w:rPr>
          <w:rFonts w:hint="eastAsia" w:ascii="仿宋" w:hAnsi="仿宋" w:eastAsia="仿宋"/>
          <w:sz w:val="24"/>
          <w:szCs w:val="24"/>
        </w:rPr>
        <w:t>（1）前期调研。</w:t>
      </w:r>
      <w:r>
        <w:rPr>
          <w:rFonts w:hint="eastAsia" w:ascii="仿宋" w:hAnsi="仿宋" w:eastAsia="仿宋" w:cs="Times New Roman"/>
          <w:sz w:val="24"/>
          <w:szCs w:val="24"/>
        </w:rPr>
        <w:t>2</w:t>
      </w:r>
      <w:r>
        <w:rPr>
          <w:rFonts w:ascii="仿宋" w:hAnsi="仿宋" w:eastAsia="仿宋" w:cs="Times New Roman"/>
          <w:sz w:val="24"/>
          <w:szCs w:val="24"/>
        </w:rPr>
        <w:t>02</w:t>
      </w:r>
      <w:r>
        <w:rPr>
          <w:rFonts w:hint="eastAsia" w:ascii="仿宋" w:hAnsi="仿宋" w:eastAsia="仿宋" w:cs="Times New Roman"/>
          <w:sz w:val="24"/>
          <w:szCs w:val="24"/>
          <w:lang w:val="en-US" w:eastAsia="zh-CN"/>
        </w:rPr>
        <w:t>5</w:t>
      </w:r>
      <w:r>
        <w:rPr>
          <w:rFonts w:hint="eastAsia" w:ascii="仿宋" w:hAnsi="仿宋" w:eastAsia="仿宋" w:cs="Times New Roman"/>
          <w:sz w:val="24"/>
          <w:szCs w:val="24"/>
        </w:rPr>
        <w:t>年</w:t>
      </w:r>
      <w:r>
        <w:rPr>
          <w:rFonts w:hint="eastAsia" w:ascii="仿宋" w:hAnsi="仿宋" w:eastAsia="仿宋" w:cs="Times New Roman"/>
          <w:sz w:val="24"/>
          <w:szCs w:val="24"/>
          <w:lang w:val="en-US" w:eastAsia="zh-CN"/>
        </w:rPr>
        <w:t>4</w:t>
      </w:r>
      <w:r>
        <w:rPr>
          <w:rFonts w:hint="eastAsia" w:ascii="仿宋" w:hAnsi="仿宋" w:eastAsia="仿宋" w:cs="Times New Roman"/>
          <w:sz w:val="24"/>
          <w:szCs w:val="24"/>
        </w:rPr>
        <w:t>月，</w:t>
      </w:r>
      <w:r>
        <w:rPr>
          <w:rFonts w:hint="eastAsia" w:ascii="仿宋" w:hAnsi="仿宋" w:eastAsia="仿宋" w:cs="Times New Roman"/>
          <w:sz w:val="24"/>
          <w:szCs w:val="24"/>
          <w:lang w:val="en-US" w:eastAsia="zh-CN"/>
        </w:rPr>
        <w:t>湖南省食用菌研究所</w:t>
      </w:r>
      <w:r>
        <w:rPr>
          <w:rFonts w:hint="eastAsia" w:ascii="仿宋" w:hAnsi="仿宋" w:eastAsia="仿宋" w:cs="Times New Roman"/>
          <w:sz w:val="24"/>
          <w:szCs w:val="24"/>
        </w:rPr>
        <w:t>通过湖南省供销合作总社向中华全国供销合作总社提出</w:t>
      </w:r>
      <w:r>
        <w:rPr>
          <w:rFonts w:hint="eastAsia" w:ascii="仿宋" w:hAnsi="仿宋" w:eastAsia="仿宋" w:cs="Times New Roman"/>
          <w:sz w:val="24"/>
          <w:szCs w:val="24"/>
          <w:lang w:val="en-US" w:eastAsia="zh-CN"/>
        </w:rPr>
        <w:t>行业</w:t>
      </w:r>
      <w:r>
        <w:rPr>
          <w:rFonts w:hint="eastAsia" w:ascii="仿宋" w:hAnsi="仿宋" w:eastAsia="仿宋" w:cs="Times New Roman"/>
          <w:sz w:val="24"/>
          <w:szCs w:val="24"/>
        </w:rPr>
        <w:t>标准《</w:t>
      </w:r>
      <w:r>
        <w:rPr>
          <w:rFonts w:hint="eastAsia" w:ascii="仿宋" w:hAnsi="仿宋" w:eastAsia="仿宋" w:cs="Times New Roman"/>
          <w:sz w:val="24"/>
          <w:szCs w:val="24"/>
          <w:lang w:val="en-US" w:eastAsia="zh-CN"/>
        </w:rPr>
        <w:t>蛹虫草多糖</w:t>
      </w:r>
      <w:r>
        <w:rPr>
          <w:rFonts w:hint="eastAsia" w:ascii="仿宋" w:hAnsi="仿宋" w:eastAsia="仿宋" w:cs="Times New Roman"/>
          <w:sz w:val="24"/>
          <w:szCs w:val="24"/>
        </w:rPr>
        <w:t>生产技术规程》立项建议。立项建议提出前，湖南省食用菌研究所</w:t>
      </w:r>
      <w:r>
        <w:rPr>
          <w:rFonts w:hint="eastAsia" w:ascii="仿宋" w:hAnsi="仿宋" w:eastAsia="仿宋" w:cs="Times New Roman"/>
          <w:sz w:val="24"/>
          <w:szCs w:val="24"/>
          <w:lang w:eastAsia="zh-CN"/>
        </w:rPr>
        <w:t>、</w:t>
      </w:r>
      <w:r>
        <w:rPr>
          <w:rFonts w:hint="eastAsia" w:ascii="仿宋" w:hAnsi="仿宋" w:eastAsia="仿宋" w:cs="Times New Roman"/>
          <w:sz w:val="24"/>
          <w:szCs w:val="24"/>
        </w:rPr>
        <w:t>湖南省食用菌协会等单位开展调研，收集整理了</w:t>
      </w:r>
      <w:r>
        <w:rPr>
          <w:rFonts w:hint="eastAsia" w:ascii="仿宋" w:hAnsi="仿宋" w:eastAsia="仿宋" w:cs="Times New Roman"/>
          <w:sz w:val="24"/>
          <w:szCs w:val="24"/>
          <w:lang w:val="en-US" w:eastAsia="zh-CN"/>
        </w:rPr>
        <w:t>蛹虫草多糖</w:t>
      </w:r>
      <w:r>
        <w:rPr>
          <w:rFonts w:hint="eastAsia" w:ascii="仿宋" w:hAnsi="仿宋" w:eastAsia="仿宋" w:cs="Times New Roman"/>
          <w:sz w:val="24"/>
          <w:szCs w:val="24"/>
        </w:rPr>
        <w:t>生产相关的国家、行业、地方、团体标准和专著、学术论文，调研收集了多家</w:t>
      </w:r>
      <w:r>
        <w:rPr>
          <w:rFonts w:hint="eastAsia" w:ascii="仿宋" w:hAnsi="仿宋" w:eastAsia="仿宋" w:cs="Times New Roman"/>
          <w:sz w:val="24"/>
          <w:szCs w:val="24"/>
          <w:lang w:val="en-US" w:eastAsia="zh-CN"/>
        </w:rPr>
        <w:t>多糖</w:t>
      </w:r>
      <w:r>
        <w:rPr>
          <w:rFonts w:hint="eastAsia" w:ascii="仿宋" w:hAnsi="仿宋" w:eastAsia="仿宋" w:cs="Times New Roman"/>
          <w:sz w:val="24"/>
          <w:szCs w:val="24"/>
        </w:rPr>
        <w:t>生产企业的生产工艺和重要技术参数</w:t>
      </w:r>
      <w:r>
        <w:rPr>
          <w:rFonts w:hint="eastAsia" w:ascii="仿宋" w:hAnsi="仿宋" w:eastAsia="仿宋" w:cs="Times New Roman"/>
          <w:sz w:val="24"/>
          <w:szCs w:val="24"/>
          <w:lang w:eastAsia="zh-CN"/>
        </w:rPr>
        <w:t>。</w:t>
      </w:r>
      <w:r>
        <w:rPr>
          <w:rFonts w:hint="eastAsia" w:ascii="仿宋" w:hAnsi="仿宋" w:eastAsia="仿宋"/>
          <w:sz w:val="24"/>
          <w:szCs w:val="24"/>
        </w:rPr>
        <w:t>发现在现行国家标准、行业标准、地方标准、团体标准和企业标准中，</w:t>
      </w:r>
      <w:r>
        <w:rPr>
          <w:rFonts w:hint="eastAsia" w:ascii="仿宋" w:hAnsi="仿宋" w:eastAsia="仿宋"/>
          <w:sz w:val="24"/>
          <w:szCs w:val="24"/>
          <w:lang w:val="en-US" w:eastAsia="zh-CN"/>
        </w:rPr>
        <w:t>鲜有可以参考的提取</w:t>
      </w:r>
      <w:r>
        <w:rPr>
          <w:rFonts w:hint="eastAsia" w:ascii="仿宋" w:hAnsi="仿宋" w:eastAsia="仿宋"/>
          <w:sz w:val="24"/>
          <w:szCs w:val="24"/>
        </w:rPr>
        <w:t>工艺</w:t>
      </w:r>
      <w:r>
        <w:rPr>
          <w:rFonts w:hint="eastAsia" w:ascii="仿宋" w:hAnsi="仿宋" w:eastAsia="仿宋"/>
          <w:sz w:val="24"/>
          <w:szCs w:val="24"/>
          <w:lang w:eastAsia="zh-CN"/>
        </w:rPr>
        <w:t>，</w:t>
      </w:r>
      <w:r>
        <w:rPr>
          <w:rFonts w:hint="eastAsia" w:ascii="仿宋" w:hAnsi="仿宋" w:eastAsia="仿宋"/>
          <w:sz w:val="24"/>
          <w:szCs w:val="24"/>
          <w:lang w:val="en-US" w:eastAsia="zh-CN"/>
        </w:rPr>
        <w:t>且不完善</w:t>
      </w:r>
      <w:r>
        <w:rPr>
          <w:rFonts w:hint="eastAsia" w:ascii="仿宋" w:hAnsi="仿宋" w:eastAsia="仿宋"/>
          <w:sz w:val="24"/>
          <w:szCs w:val="24"/>
        </w:rPr>
        <w:t>。根据文献调研发现，目前最常见的</w:t>
      </w:r>
      <w:r>
        <w:rPr>
          <w:rFonts w:hint="eastAsia" w:ascii="仿宋" w:hAnsi="仿宋" w:eastAsia="仿宋"/>
          <w:sz w:val="24"/>
          <w:szCs w:val="24"/>
          <w:lang w:val="en-US" w:eastAsia="zh-CN"/>
        </w:rPr>
        <w:t>菌物多糖提取</w:t>
      </w:r>
      <w:r>
        <w:rPr>
          <w:rFonts w:hint="eastAsia" w:ascii="仿宋" w:hAnsi="仿宋" w:eastAsia="仿宋"/>
          <w:sz w:val="24"/>
          <w:szCs w:val="24"/>
        </w:rPr>
        <w:t>工艺为</w:t>
      </w:r>
      <w:r>
        <w:rPr>
          <w:rFonts w:hint="eastAsia" w:ascii="仿宋" w:hAnsi="仿宋" w:eastAsia="仿宋"/>
          <w:sz w:val="24"/>
          <w:szCs w:val="24"/>
          <w:lang w:val="en-US" w:eastAsia="zh-CN"/>
        </w:rPr>
        <w:t>水提醇沉</w:t>
      </w:r>
      <w:r>
        <w:rPr>
          <w:rFonts w:hint="eastAsia" w:ascii="仿宋" w:hAnsi="仿宋" w:eastAsia="仿宋"/>
          <w:sz w:val="24"/>
          <w:szCs w:val="24"/>
        </w:rPr>
        <w:t>法，常见的一些</w:t>
      </w:r>
      <w:r>
        <w:rPr>
          <w:rFonts w:hint="eastAsia" w:ascii="仿宋" w:hAnsi="仿宋" w:eastAsia="仿宋"/>
          <w:sz w:val="24"/>
          <w:szCs w:val="24"/>
          <w:lang w:val="en-US" w:eastAsia="zh-CN"/>
        </w:rPr>
        <w:t>菌类多糖</w:t>
      </w:r>
      <w:r>
        <w:rPr>
          <w:rFonts w:hint="eastAsia" w:ascii="仿宋" w:hAnsi="仿宋" w:eastAsia="仿宋"/>
          <w:sz w:val="24"/>
          <w:szCs w:val="24"/>
        </w:rPr>
        <w:t>提取的生产</w:t>
      </w:r>
      <w:r>
        <w:rPr>
          <w:rFonts w:hint="eastAsia" w:ascii="仿宋" w:hAnsi="仿宋" w:eastAsia="仿宋"/>
          <w:sz w:val="24"/>
          <w:szCs w:val="24"/>
          <w:lang w:val="en-US" w:eastAsia="zh-CN"/>
        </w:rPr>
        <w:t>流程</w:t>
      </w:r>
      <w:r>
        <w:rPr>
          <w:rFonts w:hint="eastAsia" w:ascii="仿宋" w:hAnsi="仿宋" w:eastAsia="仿宋"/>
          <w:sz w:val="24"/>
          <w:szCs w:val="24"/>
        </w:rPr>
        <w:t>如下：</w:t>
      </w:r>
    </w:p>
    <w:p w14:paraId="63FC33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sz w:val="24"/>
          <w:szCs w:val="24"/>
        </w:rPr>
      </w:pPr>
      <w:r>
        <w:rPr>
          <w:rFonts w:hint="eastAsia" w:ascii="仿宋" w:hAnsi="仿宋" w:eastAsia="仿宋"/>
          <w:sz w:val="24"/>
          <w:szCs w:val="24"/>
          <w:lang w:val="en-US" w:eastAsia="zh-CN"/>
        </w:rPr>
        <w:t>银耳</w:t>
      </w:r>
      <w:r>
        <w:rPr>
          <w:rFonts w:hint="eastAsia" w:ascii="仿宋" w:hAnsi="仿宋" w:eastAsia="仿宋"/>
          <w:sz w:val="24"/>
          <w:szCs w:val="24"/>
        </w:rPr>
        <w:t>提取物：原料→乙醇提取→浓缩→大孔吸附→洗脱→洗脱液→浓缩→浸膏→喷雾干燥→粉碎→混合→包装→产品</w:t>
      </w:r>
    </w:p>
    <w:p w14:paraId="5A3EE496">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sz w:val="24"/>
          <w:szCs w:val="24"/>
          <w:lang w:val="en-US" w:eastAsia="zh-CN"/>
        </w:rPr>
      </w:pPr>
      <w:r>
        <w:rPr>
          <w:rFonts w:hint="eastAsia" w:ascii="仿宋" w:hAnsi="仿宋" w:eastAsia="仿宋"/>
          <w:sz w:val="24"/>
          <w:szCs w:val="24"/>
          <w:lang w:val="en-US" w:eastAsia="zh-CN"/>
        </w:rPr>
        <w:t>大球盖菇多糖提取物：原料→水提→浓缩→醇沉→喷雾干燥→粉碎→混合→包装→产品</w:t>
      </w:r>
    </w:p>
    <w:p w14:paraId="1A9BCCB8">
      <w:pPr>
        <w:keepNext w:val="0"/>
        <w:keepLines w:val="0"/>
        <w:pageBreakBefore w:val="0"/>
        <w:kinsoku/>
        <w:wordWrap/>
        <w:overflowPunct/>
        <w:topLinePunct w:val="0"/>
        <w:autoSpaceDE/>
        <w:autoSpaceDN/>
        <w:bidi w:val="0"/>
        <w:adjustRightInd/>
        <w:snapToGrid/>
        <w:spacing w:line="560" w:lineRule="exact"/>
        <w:ind w:firstLine="480" w:firstLineChars="200"/>
        <w:jc w:val="both"/>
        <w:textAlignment w:val="auto"/>
        <w:rPr>
          <w:rFonts w:hint="eastAsia" w:ascii="仿宋" w:hAnsi="仿宋" w:eastAsia="仿宋" w:cs="Times New Roman"/>
          <w:sz w:val="24"/>
          <w:szCs w:val="24"/>
        </w:rPr>
      </w:pPr>
      <w:r>
        <w:rPr>
          <w:rFonts w:hint="eastAsia" w:ascii="仿宋" w:hAnsi="仿宋" w:eastAsia="仿宋"/>
          <w:sz w:val="24"/>
          <w:szCs w:val="24"/>
        </w:rPr>
        <w:t>结合查阅资料</w:t>
      </w:r>
      <w:r>
        <w:rPr>
          <w:rFonts w:hint="eastAsia" w:ascii="仿宋" w:hAnsi="仿宋" w:eastAsia="仿宋"/>
          <w:sz w:val="24"/>
          <w:szCs w:val="24"/>
          <w:lang w:val="en-US" w:eastAsia="zh-CN"/>
        </w:rPr>
        <w:t>以及</w:t>
      </w:r>
      <w:r>
        <w:rPr>
          <w:rFonts w:hint="eastAsia" w:ascii="仿宋" w:hAnsi="仿宋" w:eastAsia="仿宋"/>
          <w:sz w:val="24"/>
          <w:szCs w:val="24"/>
        </w:rPr>
        <w:t>经济成本等各方面的情况，可以得出大部分</w:t>
      </w:r>
      <w:r>
        <w:rPr>
          <w:rFonts w:hint="eastAsia" w:ascii="仿宋" w:hAnsi="仿宋" w:eastAsia="仿宋"/>
          <w:sz w:val="24"/>
          <w:szCs w:val="24"/>
          <w:lang w:val="en-US" w:eastAsia="zh-CN"/>
        </w:rPr>
        <w:t>多糖提出</w:t>
      </w:r>
      <w:r>
        <w:rPr>
          <w:rFonts w:hint="eastAsia" w:ascii="仿宋" w:hAnsi="仿宋" w:eastAsia="仿宋"/>
          <w:sz w:val="24"/>
          <w:szCs w:val="24"/>
        </w:rPr>
        <w:t>的溶剂</w:t>
      </w:r>
      <w:r>
        <w:rPr>
          <w:rFonts w:hint="eastAsia" w:ascii="仿宋" w:hAnsi="仿宋" w:eastAsia="仿宋"/>
          <w:sz w:val="24"/>
          <w:szCs w:val="24"/>
          <w:lang w:val="en-US" w:eastAsia="zh-CN"/>
        </w:rPr>
        <w:t>是水，</w:t>
      </w:r>
      <w:r>
        <w:rPr>
          <w:rFonts w:hint="eastAsia" w:ascii="仿宋" w:hAnsi="仿宋" w:eastAsia="仿宋"/>
          <w:sz w:val="24"/>
          <w:szCs w:val="24"/>
        </w:rPr>
        <w:t>工艺</w:t>
      </w:r>
      <w:r>
        <w:rPr>
          <w:rFonts w:hint="eastAsia" w:ascii="仿宋" w:hAnsi="仿宋" w:eastAsia="仿宋"/>
          <w:sz w:val="24"/>
          <w:szCs w:val="24"/>
          <w:lang w:val="en-US" w:eastAsia="zh-CN"/>
        </w:rPr>
        <w:t>流程</w:t>
      </w:r>
      <w:r>
        <w:rPr>
          <w:rFonts w:hint="eastAsia" w:ascii="仿宋" w:hAnsi="仿宋" w:eastAsia="仿宋"/>
          <w:sz w:val="24"/>
          <w:szCs w:val="24"/>
        </w:rPr>
        <w:t>可以归纳为原料去杂-粉碎-提取-过滤-</w:t>
      </w:r>
      <w:r>
        <w:rPr>
          <w:rFonts w:hint="eastAsia" w:ascii="仿宋" w:hAnsi="仿宋" w:eastAsia="仿宋"/>
          <w:sz w:val="24"/>
          <w:szCs w:val="24"/>
          <w:lang w:val="en-US" w:eastAsia="zh-CN"/>
        </w:rPr>
        <w:t>醇沉-</w:t>
      </w:r>
      <w:r>
        <w:rPr>
          <w:rFonts w:hint="eastAsia" w:ascii="仿宋" w:hAnsi="仿宋" w:eastAsia="仿宋"/>
          <w:sz w:val="24"/>
          <w:szCs w:val="24"/>
        </w:rPr>
        <w:t>浓缩-喷雾干燥-粗品-粉碎-过筛-混合-检测-包装-成品-批次-出库的过程</w:t>
      </w:r>
      <w:r>
        <w:rPr>
          <w:rFonts w:hint="eastAsia" w:ascii="仿宋" w:hAnsi="仿宋" w:eastAsia="仿宋"/>
          <w:sz w:val="24"/>
          <w:szCs w:val="24"/>
          <w:lang w:eastAsia="zh-CN"/>
        </w:rPr>
        <w:t>。</w:t>
      </w:r>
      <w:r>
        <w:rPr>
          <w:rFonts w:hint="eastAsia" w:ascii="仿宋" w:hAnsi="仿宋" w:eastAsia="仿宋" w:cs="Times New Roman"/>
          <w:sz w:val="24"/>
          <w:szCs w:val="24"/>
        </w:rPr>
        <w:t>按申报</w:t>
      </w:r>
      <w:r>
        <w:rPr>
          <w:rFonts w:hint="eastAsia" w:ascii="仿宋" w:hAnsi="仿宋" w:eastAsia="仿宋" w:cs="Times New Roman"/>
          <w:sz w:val="24"/>
          <w:szCs w:val="24"/>
          <w:lang w:val="en-US" w:eastAsia="zh-CN"/>
        </w:rPr>
        <w:t>行业</w:t>
      </w:r>
      <w:r>
        <w:rPr>
          <w:rFonts w:hint="eastAsia" w:ascii="仿宋" w:hAnsi="仿宋" w:eastAsia="仿宋" w:cs="Times New Roman"/>
          <w:sz w:val="24"/>
          <w:szCs w:val="24"/>
        </w:rPr>
        <w:t>标准制定项目的要求起草了《</w:t>
      </w:r>
      <w:r>
        <w:rPr>
          <w:rFonts w:hint="eastAsia" w:ascii="仿宋" w:hAnsi="仿宋" w:eastAsia="仿宋" w:cs="Times New Roman"/>
          <w:sz w:val="24"/>
          <w:szCs w:val="24"/>
          <w:lang w:val="en-US" w:eastAsia="zh-CN"/>
        </w:rPr>
        <w:t>蛹虫草多糖</w:t>
      </w:r>
      <w:r>
        <w:rPr>
          <w:rFonts w:hint="eastAsia" w:ascii="仿宋" w:hAnsi="仿宋" w:eastAsia="仿宋" w:cs="Times New Roman"/>
          <w:sz w:val="24"/>
          <w:szCs w:val="24"/>
        </w:rPr>
        <w:t>生产技术规程》</w:t>
      </w:r>
      <w:r>
        <w:rPr>
          <w:rFonts w:hint="eastAsia" w:ascii="仿宋" w:hAnsi="仿宋" w:eastAsia="仿宋" w:cs="Times New Roman"/>
          <w:sz w:val="24"/>
          <w:szCs w:val="24"/>
          <w:lang w:val="en-US" w:eastAsia="zh-CN"/>
        </w:rPr>
        <w:t>的</w:t>
      </w:r>
      <w:r>
        <w:rPr>
          <w:rFonts w:hint="eastAsia" w:ascii="仿宋" w:hAnsi="仿宋" w:eastAsia="仿宋" w:cs="Times New Roman"/>
          <w:sz w:val="24"/>
          <w:szCs w:val="24"/>
        </w:rPr>
        <w:t>（</w:t>
      </w:r>
      <w:r>
        <w:rPr>
          <w:rFonts w:hint="eastAsia" w:ascii="仿宋" w:hAnsi="仿宋" w:eastAsia="仿宋" w:cs="Times New Roman"/>
          <w:sz w:val="24"/>
          <w:szCs w:val="24"/>
          <w:lang w:val="en-US" w:eastAsia="zh-CN"/>
        </w:rPr>
        <w:t>申报草</w:t>
      </w:r>
      <w:r>
        <w:rPr>
          <w:rFonts w:hint="eastAsia" w:ascii="仿宋" w:hAnsi="仿宋" w:eastAsia="仿宋" w:cs="Times New Roman"/>
          <w:sz w:val="24"/>
          <w:szCs w:val="24"/>
        </w:rPr>
        <w:t>案）。</w:t>
      </w:r>
    </w:p>
    <w:bookmarkEnd w:id="6"/>
    <w:p w14:paraId="34506A7E">
      <w:pPr>
        <w:keepNext w:val="0"/>
        <w:keepLines w:val="0"/>
        <w:pageBreakBefore w:val="0"/>
        <w:widowControl/>
        <w:kinsoku/>
        <w:wordWrap/>
        <w:overflowPunct/>
        <w:topLinePunct w:val="0"/>
        <w:autoSpaceDE/>
        <w:autoSpaceDN/>
        <w:bidi w:val="0"/>
        <w:adjustRightInd/>
        <w:snapToGrid/>
        <w:spacing w:after="0" w:afterLines="100" w:line="560" w:lineRule="exact"/>
        <w:ind w:firstLine="480" w:firstLineChars="200"/>
        <w:jc w:val="both"/>
        <w:textAlignment w:val="auto"/>
        <w:rPr>
          <w:rFonts w:hint="eastAsia" w:ascii="仿宋" w:hAnsi="仿宋" w:eastAsia="仿宋"/>
          <w:sz w:val="24"/>
          <w:szCs w:val="24"/>
        </w:rPr>
      </w:pPr>
      <w:r>
        <w:rPr>
          <w:rFonts w:hint="eastAsia" w:ascii="仿宋" w:hAnsi="仿宋" w:eastAsia="仿宋" w:cs="Times New Roman"/>
          <w:sz w:val="24"/>
          <w:szCs w:val="24"/>
        </w:rPr>
        <w:t>（2）成立项目协调领导小组和标准起草组。</w:t>
      </w:r>
      <w:r>
        <w:rPr>
          <w:rFonts w:hint="eastAsia" w:ascii="仿宋" w:hAnsi="仿宋" w:eastAsia="仿宋"/>
          <w:sz w:val="24"/>
          <w:szCs w:val="24"/>
        </w:rPr>
        <w:t>202</w:t>
      </w:r>
      <w:r>
        <w:rPr>
          <w:rFonts w:hint="eastAsia" w:ascii="仿宋" w:hAnsi="仿宋" w:eastAsia="仿宋"/>
          <w:sz w:val="24"/>
          <w:szCs w:val="24"/>
          <w:lang w:val="en-US" w:eastAsia="zh-CN"/>
        </w:rPr>
        <w:t>5</w:t>
      </w:r>
      <w:r>
        <w:rPr>
          <w:rFonts w:hint="eastAsia" w:ascii="仿宋" w:hAnsi="仿宋" w:eastAsia="仿宋"/>
          <w:sz w:val="24"/>
          <w:szCs w:val="24"/>
        </w:rPr>
        <w:t>年</w:t>
      </w:r>
      <w:r>
        <w:rPr>
          <w:rFonts w:hint="eastAsia" w:ascii="仿宋" w:hAnsi="仿宋" w:eastAsia="仿宋"/>
          <w:sz w:val="24"/>
          <w:szCs w:val="24"/>
          <w:lang w:val="en-US" w:eastAsia="zh-CN"/>
        </w:rPr>
        <w:t>9</w:t>
      </w:r>
      <w:r>
        <w:rPr>
          <w:rFonts w:hint="eastAsia" w:ascii="仿宋" w:hAnsi="仿宋" w:eastAsia="仿宋"/>
          <w:sz w:val="24"/>
          <w:szCs w:val="24"/>
        </w:rPr>
        <w:t>月，</w:t>
      </w:r>
      <w:r>
        <w:rPr>
          <w:rFonts w:hint="eastAsia" w:ascii="仿宋" w:hAnsi="仿宋" w:eastAsia="仿宋"/>
          <w:sz w:val="24"/>
          <w:szCs w:val="24"/>
          <w:lang w:eastAsia="zh-CN"/>
        </w:rPr>
        <w:t>湖南省食用菌研究所联合</w:t>
      </w:r>
      <w:r>
        <w:rPr>
          <w:rFonts w:hint="eastAsia" w:ascii="仿宋" w:hAnsi="仿宋" w:eastAsia="仿宋"/>
          <w:sz w:val="24"/>
          <w:szCs w:val="24"/>
        </w:rPr>
        <w:t>中华全国供销合作总社昆明食用菌研究所</w:t>
      </w:r>
      <w:r>
        <w:rPr>
          <w:rFonts w:hint="eastAsia" w:ascii="仿宋" w:hAnsi="仿宋" w:eastAsia="仿宋"/>
          <w:sz w:val="24"/>
          <w:szCs w:val="24"/>
          <w:lang w:eastAsia="zh-CN"/>
        </w:rPr>
        <w:t>以及</w:t>
      </w:r>
      <w:r>
        <w:rPr>
          <w:rFonts w:hint="eastAsia" w:ascii="仿宋" w:hAnsi="仿宋" w:eastAsia="仿宋"/>
          <w:sz w:val="24"/>
          <w:szCs w:val="24"/>
          <w:lang w:val="en-US" w:eastAsia="zh-CN"/>
        </w:rPr>
        <w:t>湖南省食用菌标准化技术委员会</w:t>
      </w:r>
      <w:r>
        <w:rPr>
          <w:rFonts w:hint="eastAsia" w:ascii="仿宋" w:hAnsi="仿宋" w:eastAsia="仿宋"/>
          <w:sz w:val="24"/>
          <w:szCs w:val="24"/>
        </w:rPr>
        <w:t>选派专业人员成立标准起草组，并按标准内容制定工作计划，并进行人员分工、任务分配。</w:t>
      </w:r>
    </w:p>
    <w:p w14:paraId="4DE0BDB6">
      <w:pPr>
        <w:spacing w:line="360" w:lineRule="auto"/>
        <w:jc w:val="center"/>
        <w:rPr>
          <w:rFonts w:ascii="黑体" w:hAnsi="黑体" w:eastAsia="黑体" w:cs="Times New Roman"/>
          <w:sz w:val="24"/>
          <w:szCs w:val="24"/>
        </w:rPr>
      </w:pPr>
      <w:r>
        <w:rPr>
          <w:rFonts w:hint="eastAsia" w:ascii="黑体" w:hAnsi="黑体" w:eastAsia="黑体" w:cs="Times New Roman"/>
          <w:sz w:val="24"/>
          <w:szCs w:val="24"/>
        </w:rPr>
        <w:t>表1 主要起草人员及分工</w:t>
      </w:r>
    </w:p>
    <w:tbl>
      <w:tblPr>
        <w:tblStyle w:val="1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879"/>
        <w:gridCol w:w="4111"/>
        <w:gridCol w:w="1531"/>
        <w:gridCol w:w="1157"/>
      </w:tblGrid>
      <w:tr w14:paraId="2B7E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blHeader/>
        </w:trPr>
        <w:tc>
          <w:tcPr>
            <w:tcW w:w="709" w:type="dxa"/>
          </w:tcPr>
          <w:p w14:paraId="04DC110E">
            <w:pPr>
              <w:widowControl w:val="0"/>
              <w:jc w:val="center"/>
              <w:rPr>
                <w:rFonts w:ascii="仿宋" w:hAnsi="仿宋" w:eastAsia="仿宋"/>
                <w:b/>
                <w:szCs w:val="21"/>
              </w:rPr>
            </w:pPr>
            <w:r>
              <w:rPr>
                <w:rFonts w:hint="eastAsia" w:ascii="仿宋" w:hAnsi="仿宋" w:eastAsia="仿宋"/>
                <w:b/>
                <w:szCs w:val="21"/>
              </w:rPr>
              <w:t>序号</w:t>
            </w:r>
          </w:p>
        </w:tc>
        <w:tc>
          <w:tcPr>
            <w:tcW w:w="879" w:type="dxa"/>
          </w:tcPr>
          <w:p w14:paraId="15523B7A">
            <w:pPr>
              <w:widowControl w:val="0"/>
              <w:jc w:val="center"/>
              <w:rPr>
                <w:rFonts w:ascii="仿宋" w:hAnsi="仿宋" w:eastAsia="仿宋"/>
                <w:b/>
                <w:szCs w:val="21"/>
              </w:rPr>
            </w:pPr>
            <w:r>
              <w:rPr>
                <w:rFonts w:hint="eastAsia" w:ascii="仿宋" w:hAnsi="仿宋" w:eastAsia="仿宋"/>
                <w:b/>
                <w:szCs w:val="21"/>
              </w:rPr>
              <w:t>姓名</w:t>
            </w:r>
          </w:p>
        </w:tc>
        <w:tc>
          <w:tcPr>
            <w:tcW w:w="4111" w:type="dxa"/>
          </w:tcPr>
          <w:p w14:paraId="1ECF96DA">
            <w:pPr>
              <w:widowControl w:val="0"/>
              <w:jc w:val="center"/>
              <w:rPr>
                <w:rFonts w:ascii="仿宋" w:hAnsi="仿宋" w:eastAsia="仿宋"/>
                <w:b/>
                <w:szCs w:val="21"/>
              </w:rPr>
            </w:pPr>
            <w:r>
              <w:rPr>
                <w:rFonts w:hint="eastAsia" w:ascii="仿宋" w:hAnsi="仿宋" w:eastAsia="仿宋"/>
                <w:b/>
                <w:szCs w:val="21"/>
              </w:rPr>
              <w:t>工作单位</w:t>
            </w:r>
          </w:p>
        </w:tc>
        <w:tc>
          <w:tcPr>
            <w:tcW w:w="1531" w:type="dxa"/>
          </w:tcPr>
          <w:p w14:paraId="4C4B2A31">
            <w:pPr>
              <w:widowControl w:val="0"/>
              <w:jc w:val="center"/>
              <w:rPr>
                <w:rFonts w:ascii="仿宋" w:hAnsi="仿宋" w:eastAsia="仿宋"/>
                <w:b/>
                <w:szCs w:val="21"/>
              </w:rPr>
            </w:pPr>
            <w:r>
              <w:rPr>
                <w:rFonts w:hint="eastAsia" w:ascii="仿宋" w:hAnsi="仿宋" w:eastAsia="仿宋"/>
                <w:b/>
                <w:szCs w:val="21"/>
              </w:rPr>
              <w:t>职务/职称</w:t>
            </w:r>
          </w:p>
        </w:tc>
        <w:tc>
          <w:tcPr>
            <w:tcW w:w="1157" w:type="dxa"/>
          </w:tcPr>
          <w:p w14:paraId="785D810F">
            <w:pPr>
              <w:widowControl w:val="0"/>
              <w:jc w:val="center"/>
              <w:rPr>
                <w:rFonts w:ascii="仿宋" w:hAnsi="仿宋" w:eastAsia="仿宋"/>
                <w:b/>
                <w:szCs w:val="21"/>
              </w:rPr>
            </w:pPr>
            <w:r>
              <w:rPr>
                <w:rFonts w:hint="eastAsia" w:ascii="仿宋" w:hAnsi="仿宋" w:eastAsia="仿宋"/>
                <w:b/>
                <w:szCs w:val="21"/>
              </w:rPr>
              <w:t>任务分工</w:t>
            </w:r>
          </w:p>
        </w:tc>
      </w:tr>
      <w:tr w14:paraId="4298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blHeader/>
        </w:trPr>
        <w:tc>
          <w:tcPr>
            <w:tcW w:w="709" w:type="dxa"/>
          </w:tcPr>
          <w:p w14:paraId="77155609">
            <w:pPr>
              <w:widowControl w:val="0"/>
              <w:jc w:val="center"/>
              <w:rPr>
                <w:rFonts w:ascii="仿宋" w:hAnsi="仿宋" w:eastAsia="仿宋"/>
                <w:szCs w:val="21"/>
              </w:rPr>
            </w:pPr>
            <w:r>
              <w:rPr>
                <w:rFonts w:hint="eastAsia" w:ascii="仿宋" w:hAnsi="仿宋" w:eastAsia="仿宋"/>
                <w:szCs w:val="21"/>
              </w:rPr>
              <w:t>1</w:t>
            </w:r>
          </w:p>
        </w:tc>
        <w:tc>
          <w:tcPr>
            <w:tcW w:w="879" w:type="dxa"/>
            <w:shd w:val="clear" w:color="auto" w:fill="auto"/>
            <w:vAlign w:val="center"/>
          </w:tcPr>
          <w:p w14:paraId="44CD2E74">
            <w:pPr>
              <w:widowControl w:val="0"/>
              <w:jc w:val="center"/>
              <w:rPr>
                <w:rFonts w:ascii="仿宋" w:hAnsi="仿宋" w:eastAsia="仿宋" w:cs="Arial"/>
                <w:snapToGrid w:val="0"/>
                <w:color w:val="000000"/>
                <w:kern w:val="0"/>
                <w:sz w:val="21"/>
                <w:szCs w:val="21"/>
                <w:lang w:val="en-US" w:eastAsia="en-US" w:bidi="ar-SA"/>
              </w:rPr>
            </w:pPr>
            <w:r>
              <w:rPr>
                <w:rFonts w:hint="eastAsia" w:ascii="仿宋" w:hAnsi="仿宋" w:eastAsia="仿宋"/>
                <w:szCs w:val="21"/>
              </w:rPr>
              <w:t>黄晓辉</w:t>
            </w:r>
          </w:p>
        </w:tc>
        <w:tc>
          <w:tcPr>
            <w:tcW w:w="4111" w:type="dxa"/>
            <w:shd w:val="clear" w:color="auto" w:fill="auto"/>
            <w:vAlign w:val="top"/>
          </w:tcPr>
          <w:p w14:paraId="0D37C266">
            <w:pPr>
              <w:widowControl w:val="0"/>
              <w:jc w:val="center"/>
              <w:rPr>
                <w:rFonts w:ascii="仿宋" w:hAnsi="仿宋" w:eastAsia="仿宋" w:cs="Arial"/>
                <w:snapToGrid w:val="0"/>
                <w:color w:val="000000"/>
                <w:kern w:val="0"/>
                <w:sz w:val="21"/>
                <w:szCs w:val="21"/>
                <w:lang w:val="en-US" w:eastAsia="en-US" w:bidi="ar-SA"/>
              </w:rPr>
            </w:pPr>
            <w:r>
              <w:rPr>
                <w:rFonts w:hint="eastAsia" w:ascii="仿宋" w:hAnsi="仿宋" w:eastAsia="仿宋"/>
                <w:szCs w:val="21"/>
              </w:rPr>
              <w:t>湖南省食用菌研究所</w:t>
            </w:r>
          </w:p>
        </w:tc>
        <w:tc>
          <w:tcPr>
            <w:tcW w:w="1531" w:type="dxa"/>
            <w:shd w:val="clear" w:color="auto" w:fill="auto"/>
            <w:vAlign w:val="top"/>
          </w:tcPr>
          <w:p w14:paraId="0A35727C">
            <w:pPr>
              <w:widowControl w:val="0"/>
              <w:jc w:val="center"/>
              <w:rPr>
                <w:rFonts w:ascii="仿宋" w:hAnsi="仿宋" w:eastAsia="仿宋" w:cs="Arial"/>
                <w:snapToGrid w:val="0"/>
                <w:color w:val="000000"/>
                <w:kern w:val="0"/>
                <w:sz w:val="21"/>
                <w:szCs w:val="21"/>
                <w:lang w:val="en-US" w:eastAsia="en-US" w:bidi="ar-SA"/>
              </w:rPr>
            </w:pPr>
            <w:r>
              <w:rPr>
                <w:rFonts w:hint="eastAsia" w:ascii="仿宋" w:hAnsi="仿宋" w:eastAsia="仿宋"/>
                <w:szCs w:val="21"/>
              </w:rPr>
              <w:t>研究员</w:t>
            </w:r>
          </w:p>
        </w:tc>
        <w:tc>
          <w:tcPr>
            <w:tcW w:w="1157" w:type="dxa"/>
            <w:shd w:val="clear" w:color="auto" w:fill="auto"/>
            <w:vAlign w:val="center"/>
          </w:tcPr>
          <w:p w14:paraId="6AB539A2">
            <w:pPr>
              <w:widowControl w:val="0"/>
              <w:rPr>
                <w:rFonts w:hint="default" w:ascii="仿宋" w:hAnsi="仿宋" w:eastAsia="仿宋" w:cs="Arial"/>
                <w:snapToGrid w:val="0"/>
                <w:color w:val="000000"/>
                <w:kern w:val="0"/>
                <w:sz w:val="21"/>
                <w:szCs w:val="21"/>
                <w:lang w:val="en-US" w:eastAsia="zh-CN" w:bidi="ar-SA"/>
              </w:rPr>
            </w:pPr>
            <w:r>
              <w:rPr>
                <w:rFonts w:hint="eastAsia" w:ascii="仿宋" w:hAnsi="仿宋" w:eastAsia="仿宋"/>
                <w:szCs w:val="21"/>
                <w:lang w:val="en-US" w:eastAsia="zh-CN"/>
              </w:rPr>
              <w:t>项目负责</w:t>
            </w:r>
          </w:p>
        </w:tc>
      </w:tr>
      <w:tr w14:paraId="6ED4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9" w:type="dxa"/>
          </w:tcPr>
          <w:p w14:paraId="05966B30">
            <w:pPr>
              <w:widowControl w:val="0"/>
              <w:jc w:val="center"/>
              <w:rPr>
                <w:rFonts w:ascii="仿宋" w:hAnsi="仿宋" w:eastAsia="仿宋"/>
                <w:szCs w:val="21"/>
              </w:rPr>
            </w:pPr>
            <w:r>
              <w:rPr>
                <w:rFonts w:hint="eastAsia" w:ascii="仿宋" w:hAnsi="仿宋" w:eastAsia="仿宋"/>
                <w:szCs w:val="21"/>
              </w:rPr>
              <w:t>2</w:t>
            </w:r>
          </w:p>
        </w:tc>
        <w:tc>
          <w:tcPr>
            <w:tcW w:w="879" w:type="dxa"/>
            <w:shd w:val="clear" w:color="auto" w:fill="auto"/>
            <w:vAlign w:val="center"/>
          </w:tcPr>
          <w:p w14:paraId="7B396BBD">
            <w:pPr>
              <w:widowControl w:val="0"/>
              <w:jc w:val="center"/>
              <w:rPr>
                <w:rFonts w:hint="eastAsia" w:ascii="仿宋" w:hAnsi="仿宋" w:eastAsia="仿宋"/>
                <w:szCs w:val="21"/>
                <w:lang w:val="en-US" w:eastAsia="zh-CN"/>
              </w:rPr>
            </w:pPr>
          </w:p>
        </w:tc>
        <w:tc>
          <w:tcPr>
            <w:tcW w:w="4111" w:type="dxa"/>
            <w:shd w:val="clear" w:color="auto" w:fill="auto"/>
            <w:vAlign w:val="center"/>
          </w:tcPr>
          <w:p w14:paraId="641C6482">
            <w:pPr>
              <w:widowControl w:val="0"/>
              <w:jc w:val="center"/>
              <w:rPr>
                <w:rFonts w:hint="eastAsia" w:ascii="仿宋" w:hAnsi="仿宋" w:eastAsia="仿宋"/>
                <w:szCs w:val="21"/>
                <w:lang w:val="en-US" w:eastAsia="zh-CN"/>
              </w:rPr>
            </w:pPr>
          </w:p>
        </w:tc>
        <w:tc>
          <w:tcPr>
            <w:tcW w:w="1531" w:type="dxa"/>
            <w:shd w:val="clear" w:color="auto" w:fill="auto"/>
            <w:vAlign w:val="center"/>
          </w:tcPr>
          <w:p w14:paraId="416EE4A4">
            <w:pPr>
              <w:widowControl w:val="0"/>
              <w:jc w:val="center"/>
              <w:rPr>
                <w:rFonts w:hint="eastAsia" w:ascii="仿宋" w:hAnsi="仿宋" w:eastAsia="仿宋"/>
                <w:szCs w:val="21"/>
                <w:lang w:val="en-US" w:eastAsia="zh-CN"/>
              </w:rPr>
            </w:pPr>
          </w:p>
        </w:tc>
        <w:tc>
          <w:tcPr>
            <w:tcW w:w="1157" w:type="dxa"/>
            <w:shd w:val="clear" w:color="auto" w:fill="auto"/>
            <w:vAlign w:val="center"/>
          </w:tcPr>
          <w:p w14:paraId="564A7EF8">
            <w:pPr>
              <w:widowControl w:val="0"/>
              <w:rPr>
                <w:rFonts w:ascii="仿宋" w:hAnsi="仿宋" w:eastAsia="仿宋" w:cs="Arial"/>
                <w:snapToGrid w:val="0"/>
                <w:color w:val="000000"/>
                <w:kern w:val="0"/>
                <w:sz w:val="21"/>
                <w:szCs w:val="21"/>
                <w:lang w:val="en-US" w:eastAsia="en-US" w:bidi="ar-SA"/>
              </w:rPr>
            </w:pPr>
          </w:p>
        </w:tc>
      </w:tr>
      <w:tr w14:paraId="7FA9C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9" w:type="dxa"/>
          </w:tcPr>
          <w:p w14:paraId="270CFD8F">
            <w:pPr>
              <w:widowControl w:val="0"/>
              <w:jc w:val="center"/>
              <w:rPr>
                <w:rFonts w:ascii="仿宋" w:hAnsi="仿宋" w:eastAsia="仿宋"/>
                <w:szCs w:val="21"/>
              </w:rPr>
            </w:pPr>
            <w:r>
              <w:rPr>
                <w:rFonts w:hint="eastAsia" w:ascii="仿宋" w:hAnsi="仿宋" w:eastAsia="仿宋"/>
                <w:szCs w:val="21"/>
              </w:rPr>
              <w:t>3</w:t>
            </w:r>
          </w:p>
        </w:tc>
        <w:tc>
          <w:tcPr>
            <w:tcW w:w="879" w:type="dxa"/>
            <w:shd w:val="clear" w:color="auto" w:fill="auto"/>
            <w:vAlign w:val="center"/>
          </w:tcPr>
          <w:p w14:paraId="44537C7A">
            <w:pPr>
              <w:widowControl w:val="0"/>
              <w:jc w:val="center"/>
              <w:rPr>
                <w:rFonts w:hint="eastAsia" w:ascii="仿宋" w:hAnsi="仿宋" w:eastAsia="仿宋"/>
                <w:szCs w:val="21"/>
                <w:lang w:val="en-US" w:eastAsia="zh-CN"/>
              </w:rPr>
            </w:pPr>
          </w:p>
        </w:tc>
        <w:tc>
          <w:tcPr>
            <w:tcW w:w="4111" w:type="dxa"/>
            <w:shd w:val="clear" w:color="auto" w:fill="auto"/>
            <w:vAlign w:val="center"/>
          </w:tcPr>
          <w:p w14:paraId="497F480F">
            <w:pPr>
              <w:widowControl w:val="0"/>
              <w:jc w:val="center"/>
              <w:rPr>
                <w:rFonts w:hint="eastAsia" w:ascii="仿宋" w:hAnsi="仿宋" w:eastAsia="仿宋"/>
                <w:szCs w:val="21"/>
                <w:lang w:val="en-US" w:eastAsia="zh-CN"/>
              </w:rPr>
            </w:pPr>
          </w:p>
        </w:tc>
        <w:tc>
          <w:tcPr>
            <w:tcW w:w="1531" w:type="dxa"/>
            <w:shd w:val="clear" w:color="auto" w:fill="auto"/>
            <w:vAlign w:val="center"/>
          </w:tcPr>
          <w:p w14:paraId="5ED3C594">
            <w:pPr>
              <w:widowControl w:val="0"/>
              <w:jc w:val="center"/>
              <w:rPr>
                <w:rFonts w:hint="eastAsia" w:ascii="仿宋" w:hAnsi="仿宋" w:eastAsia="仿宋"/>
                <w:szCs w:val="21"/>
                <w:lang w:val="en-US" w:eastAsia="zh-CN"/>
              </w:rPr>
            </w:pPr>
          </w:p>
        </w:tc>
        <w:tc>
          <w:tcPr>
            <w:tcW w:w="1157" w:type="dxa"/>
            <w:shd w:val="clear" w:color="auto" w:fill="auto"/>
            <w:vAlign w:val="center"/>
          </w:tcPr>
          <w:p w14:paraId="35736E3F">
            <w:pPr>
              <w:widowControl w:val="0"/>
              <w:rPr>
                <w:rFonts w:ascii="仿宋" w:hAnsi="仿宋" w:eastAsia="仿宋" w:cs="Arial"/>
                <w:snapToGrid w:val="0"/>
                <w:color w:val="000000"/>
                <w:kern w:val="0"/>
                <w:sz w:val="21"/>
                <w:szCs w:val="21"/>
                <w:lang w:val="en-US" w:eastAsia="en-US" w:bidi="ar-SA"/>
              </w:rPr>
            </w:pPr>
          </w:p>
        </w:tc>
      </w:tr>
      <w:tr w14:paraId="5208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9" w:type="dxa"/>
          </w:tcPr>
          <w:p w14:paraId="5372C5B9">
            <w:pPr>
              <w:widowControl w:val="0"/>
              <w:jc w:val="center"/>
              <w:rPr>
                <w:rFonts w:ascii="仿宋" w:hAnsi="仿宋" w:eastAsia="仿宋"/>
                <w:szCs w:val="21"/>
              </w:rPr>
            </w:pPr>
            <w:r>
              <w:rPr>
                <w:rFonts w:hint="eastAsia" w:ascii="仿宋" w:hAnsi="仿宋" w:eastAsia="仿宋"/>
                <w:szCs w:val="21"/>
              </w:rPr>
              <w:t>4</w:t>
            </w:r>
          </w:p>
        </w:tc>
        <w:tc>
          <w:tcPr>
            <w:tcW w:w="879" w:type="dxa"/>
            <w:shd w:val="clear" w:color="auto" w:fill="auto"/>
            <w:vAlign w:val="center"/>
          </w:tcPr>
          <w:p w14:paraId="072C31C1">
            <w:pPr>
              <w:widowControl w:val="0"/>
              <w:jc w:val="center"/>
              <w:rPr>
                <w:rFonts w:hint="eastAsia" w:ascii="仿宋" w:hAnsi="仿宋" w:eastAsia="仿宋"/>
                <w:szCs w:val="21"/>
                <w:lang w:val="en-US" w:eastAsia="zh-CN"/>
              </w:rPr>
            </w:pPr>
          </w:p>
        </w:tc>
        <w:tc>
          <w:tcPr>
            <w:tcW w:w="4111" w:type="dxa"/>
            <w:shd w:val="clear" w:color="auto" w:fill="auto"/>
            <w:vAlign w:val="center"/>
          </w:tcPr>
          <w:p w14:paraId="5E52D63F">
            <w:pPr>
              <w:widowControl w:val="0"/>
              <w:jc w:val="center"/>
              <w:rPr>
                <w:rFonts w:hint="eastAsia" w:ascii="仿宋" w:hAnsi="仿宋" w:eastAsia="仿宋"/>
                <w:szCs w:val="21"/>
                <w:lang w:val="en-US" w:eastAsia="zh-CN"/>
              </w:rPr>
            </w:pPr>
          </w:p>
        </w:tc>
        <w:tc>
          <w:tcPr>
            <w:tcW w:w="1531" w:type="dxa"/>
            <w:shd w:val="clear" w:color="auto" w:fill="auto"/>
            <w:vAlign w:val="center"/>
          </w:tcPr>
          <w:p w14:paraId="3F152FCC">
            <w:pPr>
              <w:widowControl w:val="0"/>
              <w:jc w:val="center"/>
              <w:rPr>
                <w:rFonts w:hint="eastAsia" w:ascii="仿宋" w:hAnsi="仿宋" w:eastAsia="仿宋"/>
                <w:szCs w:val="21"/>
                <w:lang w:val="en-US" w:eastAsia="zh-CN"/>
              </w:rPr>
            </w:pPr>
          </w:p>
        </w:tc>
        <w:tc>
          <w:tcPr>
            <w:tcW w:w="1157" w:type="dxa"/>
            <w:shd w:val="clear" w:color="auto" w:fill="auto"/>
            <w:vAlign w:val="center"/>
          </w:tcPr>
          <w:p w14:paraId="35780E0E">
            <w:pPr>
              <w:widowControl w:val="0"/>
              <w:rPr>
                <w:rFonts w:ascii="仿宋" w:hAnsi="仿宋" w:eastAsia="仿宋" w:cs="Arial"/>
                <w:snapToGrid w:val="0"/>
                <w:color w:val="000000"/>
                <w:kern w:val="0"/>
                <w:sz w:val="21"/>
                <w:szCs w:val="21"/>
                <w:lang w:val="en-US" w:eastAsia="en-US" w:bidi="ar-SA"/>
              </w:rPr>
            </w:pPr>
          </w:p>
        </w:tc>
      </w:tr>
      <w:tr w14:paraId="4E14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9" w:type="dxa"/>
          </w:tcPr>
          <w:p w14:paraId="04E1DE06">
            <w:pPr>
              <w:widowControl w:val="0"/>
              <w:jc w:val="center"/>
              <w:rPr>
                <w:rFonts w:ascii="仿宋" w:hAnsi="仿宋" w:eastAsia="仿宋"/>
                <w:szCs w:val="21"/>
              </w:rPr>
            </w:pPr>
            <w:r>
              <w:rPr>
                <w:rFonts w:hint="eastAsia" w:ascii="仿宋" w:hAnsi="仿宋" w:eastAsia="仿宋"/>
                <w:szCs w:val="21"/>
              </w:rPr>
              <w:t>5</w:t>
            </w:r>
          </w:p>
        </w:tc>
        <w:tc>
          <w:tcPr>
            <w:tcW w:w="879" w:type="dxa"/>
            <w:shd w:val="clear" w:color="auto" w:fill="auto"/>
            <w:vAlign w:val="center"/>
          </w:tcPr>
          <w:p w14:paraId="1B738133">
            <w:pPr>
              <w:widowControl w:val="0"/>
              <w:jc w:val="center"/>
              <w:rPr>
                <w:rFonts w:hint="eastAsia" w:ascii="仿宋" w:hAnsi="仿宋" w:eastAsia="仿宋"/>
                <w:szCs w:val="21"/>
                <w:lang w:val="en-US" w:eastAsia="en-US"/>
              </w:rPr>
            </w:pPr>
          </w:p>
        </w:tc>
        <w:tc>
          <w:tcPr>
            <w:tcW w:w="4111" w:type="dxa"/>
            <w:shd w:val="clear" w:color="auto" w:fill="auto"/>
            <w:vAlign w:val="center"/>
          </w:tcPr>
          <w:p w14:paraId="66C63FD6">
            <w:pPr>
              <w:widowControl w:val="0"/>
              <w:jc w:val="center"/>
              <w:rPr>
                <w:rFonts w:hint="eastAsia" w:ascii="仿宋" w:hAnsi="仿宋" w:eastAsia="仿宋"/>
                <w:szCs w:val="21"/>
                <w:lang w:val="en-US" w:eastAsia="en-US"/>
              </w:rPr>
            </w:pPr>
          </w:p>
        </w:tc>
        <w:tc>
          <w:tcPr>
            <w:tcW w:w="1531" w:type="dxa"/>
            <w:shd w:val="clear" w:color="auto" w:fill="auto"/>
            <w:vAlign w:val="center"/>
          </w:tcPr>
          <w:p w14:paraId="64899AF3">
            <w:pPr>
              <w:widowControl w:val="0"/>
              <w:jc w:val="center"/>
              <w:rPr>
                <w:rFonts w:hint="eastAsia" w:ascii="仿宋" w:hAnsi="仿宋" w:eastAsia="仿宋"/>
                <w:szCs w:val="21"/>
                <w:lang w:val="en-US" w:eastAsia="en-US"/>
              </w:rPr>
            </w:pPr>
          </w:p>
        </w:tc>
        <w:tc>
          <w:tcPr>
            <w:tcW w:w="1157" w:type="dxa"/>
            <w:shd w:val="clear" w:color="auto" w:fill="auto"/>
            <w:vAlign w:val="center"/>
          </w:tcPr>
          <w:p w14:paraId="04F4AABD">
            <w:pPr>
              <w:widowControl w:val="0"/>
              <w:rPr>
                <w:rFonts w:hint="default" w:ascii="仿宋" w:hAnsi="仿宋" w:eastAsia="仿宋" w:cs="Arial"/>
                <w:snapToGrid w:val="0"/>
                <w:color w:val="000000"/>
                <w:kern w:val="0"/>
                <w:sz w:val="21"/>
                <w:szCs w:val="21"/>
                <w:lang w:val="en-US" w:eastAsia="en-US" w:bidi="ar-SA"/>
              </w:rPr>
            </w:pPr>
          </w:p>
        </w:tc>
      </w:tr>
      <w:tr w14:paraId="483F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9" w:type="dxa"/>
          </w:tcPr>
          <w:p w14:paraId="3A6DA895">
            <w:pPr>
              <w:widowControl w:val="0"/>
              <w:jc w:val="center"/>
              <w:rPr>
                <w:rFonts w:ascii="仿宋" w:hAnsi="仿宋" w:eastAsia="仿宋"/>
                <w:szCs w:val="21"/>
              </w:rPr>
            </w:pPr>
            <w:r>
              <w:rPr>
                <w:rFonts w:hint="eastAsia" w:ascii="仿宋" w:hAnsi="仿宋" w:eastAsia="仿宋"/>
                <w:szCs w:val="21"/>
              </w:rPr>
              <w:t>6</w:t>
            </w:r>
          </w:p>
        </w:tc>
        <w:tc>
          <w:tcPr>
            <w:tcW w:w="879" w:type="dxa"/>
            <w:shd w:val="clear" w:color="auto" w:fill="auto"/>
            <w:vAlign w:val="center"/>
          </w:tcPr>
          <w:p w14:paraId="4FD969CC">
            <w:pPr>
              <w:widowControl w:val="0"/>
              <w:jc w:val="center"/>
              <w:rPr>
                <w:rFonts w:hint="eastAsia" w:ascii="仿宋" w:hAnsi="仿宋" w:eastAsia="仿宋"/>
                <w:szCs w:val="21"/>
                <w:lang w:val="en-US" w:eastAsia="en-US"/>
              </w:rPr>
            </w:pPr>
          </w:p>
        </w:tc>
        <w:tc>
          <w:tcPr>
            <w:tcW w:w="4111" w:type="dxa"/>
            <w:shd w:val="clear" w:color="auto" w:fill="auto"/>
            <w:vAlign w:val="center"/>
          </w:tcPr>
          <w:p w14:paraId="0E11E93E">
            <w:pPr>
              <w:widowControl w:val="0"/>
              <w:jc w:val="center"/>
              <w:rPr>
                <w:rFonts w:hint="eastAsia" w:ascii="仿宋" w:hAnsi="仿宋" w:eastAsia="仿宋"/>
                <w:szCs w:val="21"/>
                <w:lang w:val="en-US" w:eastAsia="en-US"/>
              </w:rPr>
            </w:pPr>
          </w:p>
        </w:tc>
        <w:tc>
          <w:tcPr>
            <w:tcW w:w="1531" w:type="dxa"/>
            <w:shd w:val="clear" w:color="auto" w:fill="auto"/>
            <w:vAlign w:val="center"/>
          </w:tcPr>
          <w:p w14:paraId="6D2203F7">
            <w:pPr>
              <w:widowControl w:val="0"/>
              <w:jc w:val="center"/>
              <w:rPr>
                <w:rFonts w:hint="eastAsia" w:ascii="仿宋" w:hAnsi="仿宋" w:eastAsia="仿宋"/>
                <w:szCs w:val="21"/>
                <w:lang w:val="en-US" w:eastAsia="en-US"/>
              </w:rPr>
            </w:pPr>
          </w:p>
        </w:tc>
        <w:tc>
          <w:tcPr>
            <w:tcW w:w="1157" w:type="dxa"/>
            <w:shd w:val="clear" w:color="auto" w:fill="auto"/>
            <w:vAlign w:val="center"/>
          </w:tcPr>
          <w:p w14:paraId="20088937">
            <w:pPr>
              <w:widowControl w:val="0"/>
              <w:rPr>
                <w:rFonts w:ascii="仿宋" w:hAnsi="仿宋" w:eastAsia="仿宋" w:cs="Arial"/>
                <w:snapToGrid w:val="0"/>
                <w:color w:val="000000"/>
                <w:kern w:val="0"/>
                <w:sz w:val="21"/>
                <w:szCs w:val="21"/>
                <w:lang w:val="en-US" w:eastAsia="en-US" w:bidi="ar-SA"/>
              </w:rPr>
            </w:pPr>
          </w:p>
        </w:tc>
      </w:tr>
      <w:tr w14:paraId="24B84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9" w:type="dxa"/>
          </w:tcPr>
          <w:p w14:paraId="2B393F88">
            <w:pPr>
              <w:widowControl w:val="0"/>
              <w:jc w:val="center"/>
              <w:rPr>
                <w:rFonts w:ascii="仿宋" w:hAnsi="仿宋" w:eastAsia="仿宋"/>
                <w:szCs w:val="21"/>
              </w:rPr>
            </w:pPr>
            <w:r>
              <w:rPr>
                <w:rFonts w:hint="eastAsia" w:ascii="仿宋" w:hAnsi="仿宋" w:eastAsia="仿宋"/>
                <w:szCs w:val="21"/>
              </w:rPr>
              <w:t>7</w:t>
            </w:r>
          </w:p>
        </w:tc>
        <w:tc>
          <w:tcPr>
            <w:tcW w:w="879" w:type="dxa"/>
            <w:shd w:val="clear" w:color="auto" w:fill="auto"/>
            <w:vAlign w:val="center"/>
          </w:tcPr>
          <w:p w14:paraId="62B2A60C">
            <w:pPr>
              <w:widowControl w:val="0"/>
              <w:jc w:val="center"/>
              <w:rPr>
                <w:rFonts w:hint="eastAsia" w:ascii="仿宋" w:hAnsi="仿宋" w:eastAsia="仿宋"/>
                <w:szCs w:val="21"/>
                <w:lang w:val="en-US" w:eastAsia="zh-CN"/>
              </w:rPr>
            </w:pPr>
          </w:p>
        </w:tc>
        <w:tc>
          <w:tcPr>
            <w:tcW w:w="4111" w:type="dxa"/>
            <w:shd w:val="clear" w:color="auto" w:fill="auto"/>
            <w:vAlign w:val="center"/>
          </w:tcPr>
          <w:p w14:paraId="6184B23A">
            <w:pPr>
              <w:widowControl w:val="0"/>
              <w:jc w:val="center"/>
              <w:rPr>
                <w:rFonts w:hint="eastAsia" w:ascii="仿宋" w:hAnsi="仿宋" w:eastAsia="仿宋"/>
                <w:szCs w:val="21"/>
                <w:lang w:val="en-US" w:eastAsia="en-US"/>
              </w:rPr>
            </w:pPr>
          </w:p>
        </w:tc>
        <w:tc>
          <w:tcPr>
            <w:tcW w:w="1531" w:type="dxa"/>
            <w:shd w:val="clear" w:color="auto" w:fill="auto"/>
            <w:vAlign w:val="center"/>
          </w:tcPr>
          <w:p w14:paraId="0B01BB84">
            <w:pPr>
              <w:widowControl w:val="0"/>
              <w:jc w:val="center"/>
              <w:rPr>
                <w:rFonts w:hint="eastAsia" w:ascii="仿宋" w:hAnsi="仿宋" w:eastAsia="仿宋"/>
                <w:szCs w:val="21"/>
                <w:lang w:val="en-US" w:eastAsia="zh-CN"/>
              </w:rPr>
            </w:pPr>
          </w:p>
        </w:tc>
        <w:tc>
          <w:tcPr>
            <w:tcW w:w="1157" w:type="dxa"/>
            <w:shd w:val="clear" w:color="auto" w:fill="auto"/>
            <w:vAlign w:val="center"/>
          </w:tcPr>
          <w:p w14:paraId="14197BB9">
            <w:pPr>
              <w:widowControl w:val="0"/>
              <w:rPr>
                <w:rFonts w:ascii="仿宋" w:hAnsi="仿宋" w:eastAsia="仿宋" w:cs="Arial"/>
                <w:snapToGrid w:val="0"/>
                <w:color w:val="000000"/>
                <w:kern w:val="0"/>
                <w:sz w:val="21"/>
                <w:szCs w:val="21"/>
                <w:lang w:val="en-US" w:eastAsia="en-US" w:bidi="ar-SA"/>
              </w:rPr>
            </w:pPr>
          </w:p>
        </w:tc>
      </w:tr>
      <w:tr w14:paraId="0B68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9" w:type="dxa"/>
          </w:tcPr>
          <w:p w14:paraId="237CB4F8">
            <w:pPr>
              <w:widowControl w:val="0"/>
              <w:jc w:val="center"/>
              <w:rPr>
                <w:rFonts w:ascii="仿宋" w:hAnsi="仿宋" w:eastAsia="仿宋"/>
                <w:szCs w:val="21"/>
              </w:rPr>
            </w:pPr>
            <w:r>
              <w:rPr>
                <w:rFonts w:hint="eastAsia" w:ascii="仿宋" w:hAnsi="仿宋" w:eastAsia="仿宋"/>
                <w:szCs w:val="21"/>
              </w:rPr>
              <w:t>8</w:t>
            </w:r>
          </w:p>
        </w:tc>
        <w:tc>
          <w:tcPr>
            <w:tcW w:w="879" w:type="dxa"/>
            <w:shd w:val="clear" w:color="auto" w:fill="auto"/>
            <w:vAlign w:val="center"/>
          </w:tcPr>
          <w:p w14:paraId="4D424482">
            <w:pPr>
              <w:widowControl w:val="0"/>
              <w:jc w:val="center"/>
              <w:rPr>
                <w:rFonts w:hint="default" w:ascii="仿宋" w:hAnsi="仿宋" w:eastAsia="仿宋"/>
                <w:szCs w:val="21"/>
                <w:lang w:val="en-US" w:eastAsia="zh-CN"/>
              </w:rPr>
            </w:pPr>
          </w:p>
        </w:tc>
        <w:tc>
          <w:tcPr>
            <w:tcW w:w="4111" w:type="dxa"/>
            <w:shd w:val="clear" w:color="auto" w:fill="auto"/>
            <w:vAlign w:val="center"/>
          </w:tcPr>
          <w:p w14:paraId="3D7B5E0C">
            <w:pPr>
              <w:widowControl w:val="0"/>
              <w:jc w:val="center"/>
              <w:rPr>
                <w:rFonts w:hint="eastAsia" w:ascii="仿宋" w:hAnsi="仿宋" w:eastAsia="仿宋"/>
                <w:szCs w:val="21"/>
                <w:lang w:val="en-US" w:eastAsia="en-US"/>
              </w:rPr>
            </w:pPr>
          </w:p>
        </w:tc>
        <w:tc>
          <w:tcPr>
            <w:tcW w:w="1531" w:type="dxa"/>
            <w:shd w:val="clear" w:color="auto" w:fill="auto"/>
            <w:vAlign w:val="center"/>
          </w:tcPr>
          <w:p w14:paraId="38FEDE94">
            <w:pPr>
              <w:widowControl w:val="0"/>
              <w:jc w:val="center"/>
              <w:rPr>
                <w:rFonts w:hint="default" w:ascii="仿宋" w:hAnsi="仿宋" w:eastAsia="仿宋"/>
                <w:szCs w:val="21"/>
                <w:lang w:val="en-US" w:eastAsia="zh-CN"/>
              </w:rPr>
            </w:pPr>
          </w:p>
        </w:tc>
        <w:tc>
          <w:tcPr>
            <w:tcW w:w="1157" w:type="dxa"/>
            <w:shd w:val="clear" w:color="auto" w:fill="auto"/>
            <w:vAlign w:val="center"/>
          </w:tcPr>
          <w:p w14:paraId="5681BF57">
            <w:pPr>
              <w:widowControl w:val="0"/>
              <w:rPr>
                <w:rFonts w:ascii="仿宋" w:hAnsi="仿宋" w:eastAsia="仿宋" w:cs="Arial"/>
                <w:snapToGrid w:val="0"/>
                <w:color w:val="000000"/>
                <w:kern w:val="0"/>
                <w:sz w:val="21"/>
                <w:szCs w:val="21"/>
                <w:lang w:val="en-US" w:eastAsia="en-US" w:bidi="ar-SA"/>
              </w:rPr>
            </w:pPr>
          </w:p>
        </w:tc>
      </w:tr>
      <w:tr w14:paraId="63028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9" w:type="dxa"/>
          </w:tcPr>
          <w:p w14:paraId="2728F83C">
            <w:pPr>
              <w:widowControl w:val="0"/>
              <w:jc w:val="center"/>
              <w:rPr>
                <w:rFonts w:ascii="仿宋" w:hAnsi="仿宋" w:eastAsia="仿宋"/>
                <w:szCs w:val="21"/>
              </w:rPr>
            </w:pPr>
            <w:r>
              <w:rPr>
                <w:rFonts w:hint="eastAsia" w:ascii="仿宋" w:hAnsi="仿宋" w:eastAsia="仿宋"/>
                <w:szCs w:val="21"/>
              </w:rPr>
              <w:t>9</w:t>
            </w:r>
          </w:p>
        </w:tc>
        <w:tc>
          <w:tcPr>
            <w:tcW w:w="879" w:type="dxa"/>
            <w:shd w:val="clear" w:color="auto" w:fill="auto"/>
            <w:vAlign w:val="center"/>
          </w:tcPr>
          <w:p w14:paraId="325F160C">
            <w:pPr>
              <w:widowControl w:val="0"/>
              <w:jc w:val="center"/>
              <w:rPr>
                <w:rFonts w:hint="eastAsia" w:ascii="仿宋" w:hAnsi="仿宋" w:eastAsia="仿宋" w:cs="Arial"/>
                <w:snapToGrid w:val="0"/>
                <w:color w:val="000000"/>
                <w:kern w:val="0"/>
                <w:sz w:val="21"/>
                <w:szCs w:val="21"/>
                <w:lang w:val="en-US" w:eastAsia="en-US" w:bidi="ar-SA"/>
              </w:rPr>
            </w:pPr>
          </w:p>
        </w:tc>
        <w:tc>
          <w:tcPr>
            <w:tcW w:w="4111" w:type="dxa"/>
            <w:shd w:val="clear" w:color="auto" w:fill="auto"/>
            <w:vAlign w:val="center"/>
          </w:tcPr>
          <w:p w14:paraId="7A77479F">
            <w:pPr>
              <w:widowControl w:val="0"/>
              <w:jc w:val="center"/>
              <w:rPr>
                <w:rFonts w:hint="eastAsia" w:ascii="仿宋" w:hAnsi="仿宋" w:eastAsia="仿宋" w:cs="Arial"/>
                <w:snapToGrid w:val="0"/>
                <w:color w:val="000000"/>
                <w:kern w:val="0"/>
                <w:sz w:val="21"/>
                <w:szCs w:val="21"/>
                <w:lang w:val="en-US" w:eastAsia="en-US" w:bidi="ar-SA"/>
              </w:rPr>
            </w:pPr>
          </w:p>
        </w:tc>
        <w:tc>
          <w:tcPr>
            <w:tcW w:w="1531" w:type="dxa"/>
            <w:shd w:val="clear" w:color="auto" w:fill="auto"/>
            <w:vAlign w:val="center"/>
          </w:tcPr>
          <w:p w14:paraId="059F2045">
            <w:pPr>
              <w:widowControl w:val="0"/>
              <w:jc w:val="center"/>
              <w:rPr>
                <w:rFonts w:hint="eastAsia" w:ascii="仿宋" w:hAnsi="仿宋" w:eastAsia="仿宋" w:cs="Arial"/>
                <w:snapToGrid w:val="0"/>
                <w:color w:val="000000"/>
                <w:kern w:val="0"/>
                <w:sz w:val="21"/>
                <w:szCs w:val="21"/>
                <w:lang w:val="en-US" w:eastAsia="en-US" w:bidi="ar-SA"/>
              </w:rPr>
            </w:pPr>
          </w:p>
        </w:tc>
        <w:tc>
          <w:tcPr>
            <w:tcW w:w="1157" w:type="dxa"/>
            <w:shd w:val="clear" w:color="auto" w:fill="auto"/>
            <w:vAlign w:val="center"/>
          </w:tcPr>
          <w:p w14:paraId="38129651">
            <w:pPr>
              <w:widowControl w:val="0"/>
              <w:rPr>
                <w:rFonts w:hint="eastAsia" w:ascii="仿宋" w:hAnsi="仿宋" w:eastAsia="仿宋" w:cs="Arial"/>
                <w:snapToGrid w:val="0"/>
                <w:color w:val="000000"/>
                <w:kern w:val="0"/>
                <w:sz w:val="21"/>
                <w:szCs w:val="21"/>
                <w:lang w:val="en-US" w:eastAsia="en-US" w:bidi="ar-SA"/>
              </w:rPr>
            </w:pPr>
          </w:p>
        </w:tc>
      </w:tr>
      <w:tr w14:paraId="1893F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9" w:type="dxa"/>
          </w:tcPr>
          <w:p w14:paraId="05895AC3">
            <w:pPr>
              <w:widowControl w:val="0"/>
              <w:jc w:val="center"/>
              <w:rPr>
                <w:rFonts w:ascii="仿宋" w:hAnsi="仿宋" w:eastAsia="仿宋"/>
                <w:szCs w:val="21"/>
              </w:rPr>
            </w:pPr>
            <w:r>
              <w:rPr>
                <w:rFonts w:hint="eastAsia" w:ascii="仿宋" w:hAnsi="仿宋" w:eastAsia="仿宋"/>
                <w:szCs w:val="21"/>
              </w:rPr>
              <w:t>10</w:t>
            </w:r>
          </w:p>
        </w:tc>
        <w:tc>
          <w:tcPr>
            <w:tcW w:w="879" w:type="dxa"/>
            <w:shd w:val="clear" w:color="auto" w:fill="auto"/>
            <w:vAlign w:val="center"/>
          </w:tcPr>
          <w:p w14:paraId="30C77C22">
            <w:pPr>
              <w:widowControl w:val="0"/>
              <w:jc w:val="center"/>
              <w:rPr>
                <w:rFonts w:hint="eastAsia" w:ascii="仿宋" w:hAnsi="仿宋" w:eastAsia="仿宋"/>
                <w:szCs w:val="21"/>
                <w:lang w:val="en-US" w:eastAsia="en-US"/>
              </w:rPr>
            </w:pPr>
          </w:p>
        </w:tc>
        <w:tc>
          <w:tcPr>
            <w:tcW w:w="4111" w:type="dxa"/>
            <w:shd w:val="clear" w:color="auto" w:fill="auto"/>
            <w:vAlign w:val="center"/>
          </w:tcPr>
          <w:p w14:paraId="1181BB7B">
            <w:pPr>
              <w:widowControl w:val="0"/>
              <w:jc w:val="center"/>
              <w:rPr>
                <w:rFonts w:hint="eastAsia" w:ascii="仿宋" w:hAnsi="仿宋" w:eastAsia="仿宋"/>
                <w:szCs w:val="21"/>
                <w:lang w:val="en-US" w:eastAsia="en-US"/>
              </w:rPr>
            </w:pPr>
          </w:p>
        </w:tc>
        <w:tc>
          <w:tcPr>
            <w:tcW w:w="1531" w:type="dxa"/>
            <w:shd w:val="clear" w:color="auto" w:fill="auto"/>
            <w:vAlign w:val="center"/>
          </w:tcPr>
          <w:p w14:paraId="56AA2951">
            <w:pPr>
              <w:widowControl w:val="0"/>
              <w:jc w:val="center"/>
              <w:rPr>
                <w:rFonts w:hint="eastAsia" w:ascii="仿宋" w:hAnsi="仿宋" w:eastAsia="仿宋"/>
                <w:szCs w:val="21"/>
                <w:lang w:val="en-US" w:eastAsia="en-US"/>
              </w:rPr>
            </w:pPr>
          </w:p>
        </w:tc>
        <w:tc>
          <w:tcPr>
            <w:tcW w:w="1157" w:type="dxa"/>
            <w:shd w:val="clear" w:color="auto" w:fill="auto"/>
            <w:vAlign w:val="center"/>
          </w:tcPr>
          <w:p w14:paraId="25F2D2BA">
            <w:pPr>
              <w:widowControl w:val="0"/>
              <w:rPr>
                <w:rFonts w:hint="default" w:ascii="仿宋" w:hAnsi="仿宋" w:eastAsia="仿宋" w:cs="Arial"/>
                <w:snapToGrid w:val="0"/>
                <w:color w:val="000000"/>
                <w:kern w:val="0"/>
                <w:sz w:val="21"/>
                <w:szCs w:val="21"/>
                <w:lang w:val="en-US" w:eastAsia="en-US" w:bidi="ar-SA"/>
              </w:rPr>
            </w:pPr>
          </w:p>
        </w:tc>
      </w:tr>
      <w:tr w14:paraId="747C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9" w:type="dxa"/>
          </w:tcPr>
          <w:p w14:paraId="7860C0CE">
            <w:pPr>
              <w:widowControl w:val="0"/>
              <w:jc w:val="center"/>
              <w:rPr>
                <w:rFonts w:hint="default" w:ascii="仿宋" w:hAnsi="仿宋" w:eastAsia="仿宋"/>
                <w:szCs w:val="21"/>
                <w:lang w:val="en-US" w:eastAsia="zh-CN"/>
              </w:rPr>
            </w:pPr>
            <w:r>
              <w:rPr>
                <w:rFonts w:hint="eastAsia" w:ascii="仿宋" w:hAnsi="仿宋" w:eastAsia="仿宋"/>
                <w:szCs w:val="21"/>
                <w:lang w:val="en-US" w:eastAsia="zh-CN"/>
              </w:rPr>
              <w:t>11</w:t>
            </w:r>
          </w:p>
        </w:tc>
        <w:tc>
          <w:tcPr>
            <w:tcW w:w="879" w:type="dxa"/>
            <w:shd w:val="clear" w:color="auto" w:fill="auto"/>
            <w:vAlign w:val="center"/>
          </w:tcPr>
          <w:p w14:paraId="2C43BA63">
            <w:pPr>
              <w:widowControl w:val="0"/>
              <w:jc w:val="center"/>
              <w:rPr>
                <w:rFonts w:hint="eastAsia" w:ascii="仿宋" w:hAnsi="仿宋" w:eastAsia="仿宋"/>
                <w:szCs w:val="21"/>
                <w:lang w:val="en-US" w:eastAsia="zh-CN"/>
              </w:rPr>
            </w:pPr>
          </w:p>
        </w:tc>
        <w:tc>
          <w:tcPr>
            <w:tcW w:w="4111" w:type="dxa"/>
            <w:shd w:val="clear" w:color="auto" w:fill="auto"/>
            <w:vAlign w:val="center"/>
          </w:tcPr>
          <w:p w14:paraId="4659E0B4">
            <w:pPr>
              <w:widowControl w:val="0"/>
              <w:jc w:val="center"/>
              <w:rPr>
                <w:rFonts w:hint="eastAsia" w:ascii="仿宋" w:hAnsi="仿宋" w:eastAsia="仿宋"/>
                <w:szCs w:val="21"/>
                <w:lang w:val="en-US" w:eastAsia="zh-CN"/>
              </w:rPr>
            </w:pPr>
          </w:p>
        </w:tc>
        <w:tc>
          <w:tcPr>
            <w:tcW w:w="1531" w:type="dxa"/>
            <w:shd w:val="clear" w:color="auto" w:fill="auto"/>
            <w:vAlign w:val="center"/>
          </w:tcPr>
          <w:p w14:paraId="0E27CB84">
            <w:pPr>
              <w:widowControl w:val="0"/>
              <w:jc w:val="center"/>
              <w:rPr>
                <w:rFonts w:hint="eastAsia" w:ascii="仿宋" w:hAnsi="仿宋" w:eastAsia="仿宋"/>
                <w:szCs w:val="21"/>
                <w:lang w:val="en-US" w:eastAsia="zh-CN"/>
              </w:rPr>
            </w:pPr>
          </w:p>
        </w:tc>
        <w:tc>
          <w:tcPr>
            <w:tcW w:w="1157" w:type="dxa"/>
            <w:vAlign w:val="center"/>
          </w:tcPr>
          <w:p w14:paraId="0F74B088">
            <w:pPr>
              <w:widowControl w:val="0"/>
              <w:rPr>
                <w:rFonts w:hint="default" w:ascii="仿宋" w:hAnsi="仿宋" w:eastAsia="仿宋"/>
                <w:szCs w:val="21"/>
                <w:lang w:val="en-US" w:eastAsia="zh-CN"/>
              </w:rPr>
            </w:pPr>
          </w:p>
        </w:tc>
      </w:tr>
      <w:tr w14:paraId="6AF57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9" w:type="dxa"/>
          </w:tcPr>
          <w:p w14:paraId="60DF1DED">
            <w:pPr>
              <w:widowControl w:val="0"/>
              <w:jc w:val="center"/>
              <w:rPr>
                <w:rFonts w:hint="default" w:ascii="仿宋" w:hAnsi="仿宋" w:eastAsia="仿宋"/>
                <w:szCs w:val="21"/>
                <w:lang w:val="en-US" w:eastAsia="zh-CN"/>
              </w:rPr>
            </w:pPr>
            <w:r>
              <w:rPr>
                <w:rFonts w:hint="eastAsia" w:ascii="仿宋" w:hAnsi="仿宋" w:eastAsia="仿宋"/>
                <w:szCs w:val="21"/>
                <w:lang w:val="en-US" w:eastAsia="zh-CN"/>
              </w:rPr>
              <w:t>12</w:t>
            </w:r>
          </w:p>
        </w:tc>
        <w:tc>
          <w:tcPr>
            <w:tcW w:w="879" w:type="dxa"/>
            <w:shd w:val="clear" w:color="auto" w:fill="auto"/>
            <w:vAlign w:val="center"/>
          </w:tcPr>
          <w:p w14:paraId="08298514">
            <w:pPr>
              <w:widowControl w:val="0"/>
              <w:jc w:val="center"/>
              <w:rPr>
                <w:rFonts w:hint="eastAsia" w:ascii="仿宋" w:hAnsi="仿宋" w:eastAsia="仿宋"/>
                <w:szCs w:val="21"/>
                <w:lang w:val="en-US" w:eastAsia="zh-CN"/>
              </w:rPr>
            </w:pPr>
          </w:p>
        </w:tc>
        <w:tc>
          <w:tcPr>
            <w:tcW w:w="4111" w:type="dxa"/>
            <w:shd w:val="clear" w:color="auto" w:fill="auto"/>
            <w:vAlign w:val="center"/>
          </w:tcPr>
          <w:p w14:paraId="0A589D16">
            <w:pPr>
              <w:widowControl w:val="0"/>
              <w:jc w:val="center"/>
              <w:rPr>
                <w:rFonts w:hint="eastAsia" w:ascii="仿宋" w:hAnsi="仿宋" w:eastAsia="仿宋"/>
                <w:szCs w:val="21"/>
                <w:lang w:val="en-US" w:eastAsia="en-US"/>
              </w:rPr>
            </w:pPr>
          </w:p>
        </w:tc>
        <w:tc>
          <w:tcPr>
            <w:tcW w:w="1531" w:type="dxa"/>
            <w:shd w:val="clear" w:color="auto" w:fill="auto"/>
            <w:vAlign w:val="center"/>
          </w:tcPr>
          <w:p w14:paraId="1AE63EEC">
            <w:pPr>
              <w:widowControl w:val="0"/>
              <w:jc w:val="center"/>
              <w:rPr>
                <w:rFonts w:hint="eastAsia" w:ascii="仿宋" w:hAnsi="仿宋" w:eastAsia="仿宋"/>
                <w:szCs w:val="21"/>
                <w:lang w:val="en-US" w:eastAsia="zh-CN"/>
              </w:rPr>
            </w:pPr>
          </w:p>
        </w:tc>
        <w:tc>
          <w:tcPr>
            <w:tcW w:w="1157" w:type="dxa"/>
            <w:vAlign w:val="center"/>
          </w:tcPr>
          <w:p w14:paraId="3A64F65F">
            <w:pPr>
              <w:widowControl w:val="0"/>
              <w:rPr>
                <w:rFonts w:hint="default" w:ascii="仿宋" w:hAnsi="仿宋" w:eastAsia="仿宋"/>
                <w:szCs w:val="21"/>
                <w:lang w:val="en-US" w:eastAsia="zh-CN"/>
              </w:rPr>
            </w:pPr>
          </w:p>
        </w:tc>
      </w:tr>
      <w:tr w14:paraId="245E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9" w:type="dxa"/>
          </w:tcPr>
          <w:p w14:paraId="31DA474C">
            <w:pPr>
              <w:widowControl w:val="0"/>
              <w:jc w:val="center"/>
              <w:rPr>
                <w:rFonts w:hint="default" w:ascii="仿宋" w:hAnsi="仿宋" w:eastAsia="仿宋"/>
                <w:szCs w:val="21"/>
                <w:lang w:val="en-US" w:eastAsia="zh-CN"/>
              </w:rPr>
            </w:pPr>
            <w:r>
              <w:rPr>
                <w:rFonts w:hint="eastAsia" w:ascii="仿宋" w:hAnsi="仿宋" w:eastAsia="仿宋"/>
                <w:szCs w:val="21"/>
                <w:lang w:val="en-US" w:eastAsia="zh-CN"/>
              </w:rPr>
              <w:t>13</w:t>
            </w:r>
          </w:p>
        </w:tc>
        <w:tc>
          <w:tcPr>
            <w:tcW w:w="879" w:type="dxa"/>
            <w:shd w:val="clear" w:color="auto" w:fill="auto"/>
            <w:vAlign w:val="center"/>
          </w:tcPr>
          <w:p w14:paraId="5E42FA4B">
            <w:pPr>
              <w:widowControl w:val="0"/>
              <w:jc w:val="center"/>
              <w:rPr>
                <w:rFonts w:hint="default" w:ascii="仿宋" w:hAnsi="仿宋" w:eastAsia="仿宋" w:cs="Arial"/>
                <w:snapToGrid w:val="0"/>
                <w:color w:val="000000"/>
                <w:kern w:val="0"/>
                <w:sz w:val="21"/>
                <w:szCs w:val="21"/>
                <w:lang w:val="en-US" w:eastAsia="zh-CN" w:bidi="ar-SA"/>
              </w:rPr>
            </w:pPr>
          </w:p>
        </w:tc>
        <w:tc>
          <w:tcPr>
            <w:tcW w:w="4111" w:type="dxa"/>
            <w:shd w:val="clear" w:color="auto" w:fill="auto"/>
            <w:vAlign w:val="center"/>
          </w:tcPr>
          <w:p w14:paraId="421D87DC">
            <w:pPr>
              <w:widowControl w:val="0"/>
              <w:jc w:val="center"/>
              <w:rPr>
                <w:rFonts w:hint="default" w:ascii="仿宋" w:hAnsi="仿宋" w:eastAsia="仿宋" w:cs="Arial"/>
                <w:snapToGrid w:val="0"/>
                <w:color w:val="000000"/>
                <w:kern w:val="0"/>
                <w:sz w:val="21"/>
                <w:szCs w:val="21"/>
                <w:lang w:val="en-US" w:eastAsia="zh-CN" w:bidi="ar-SA"/>
              </w:rPr>
            </w:pPr>
          </w:p>
        </w:tc>
        <w:tc>
          <w:tcPr>
            <w:tcW w:w="1531" w:type="dxa"/>
            <w:shd w:val="clear" w:color="auto" w:fill="auto"/>
            <w:vAlign w:val="center"/>
          </w:tcPr>
          <w:p w14:paraId="2C3CB4AA">
            <w:pPr>
              <w:widowControl w:val="0"/>
              <w:jc w:val="center"/>
              <w:rPr>
                <w:rFonts w:hint="default" w:ascii="仿宋" w:hAnsi="仿宋" w:eastAsia="仿宋" w:cs="Arial"/>
                <w:snapToGrid w:val="0"/>
                <w:color w:val="000000"/>
                <w:kern w:val="0"/>
                <w:sz w:val="21"/>
                <w:szCs w:val="21"/>
                <w:lang w:val="en-US" w:eastAsia="zh-CN" w:bidi="ar-SA"/>
              </w:rPr>
            </w:pPr>
          </w:p>
        </w:tc>
        <w:tc>
          <w:tcPr>
            <w:tcW w:w="1157" w:type="dxa"/>
            <w:shd w:val="clear" w:color="auto" w:fill="auto"/>
            <w:vAlign w:val="center"/>
          </w:tcPr>
          <w:p w14:paraId="3F7F3D41">
            <w:pPr>
              <w:widowControl w:val="0"/>
              <w:rPr>
                <w:rFonts w:hint="eastAsia" w:ascii="仿宋" w:hAnsi="仿宋" w:eastAsia="仿宋" w:cs="Arial"/>
                <w:snapToGrid w:val="0"/>
                <w:color w:val="000000"/>
                <w:kern w:val="0"/>
                <w:sz w:val="21"/>
                <w:szCs w:val="21"/>
                <w:lang w:val="en-US" w:eastAsia="zh-CN" w:bidi="ar-SA"/>
              </w:rPr>
            </w:pPr>
          </w:p>
        </w:tc>
      </w:tr>
      <w:tr w14:paraId="019BA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9" w:type="dxa"/>
          </w:tcPr>
          <w:p w14:paraId="359F4205">
            <w:pPr>
              <w:widowControl w:val="0"/>
              <w:jc w:val="center"/>
              <w:rPr>
                <w:rFonts w:hint="default" w:ascii="仿宋" w:hAnsi="仿宋" w:eastAsia="仿宋"/>
                <w:szCs w:val="21"/>
                <w:lang w:val="en-US" w:eastAsia="zh-CN"/>
              </w:rPr>
            </w:pPr>
            <w:r>
              <w:rPr>
                <w:rFonts w:hint="eastAsia" w:ascii="仿宋" w:hAnsi="仿宋" w:eastAsia="仿宋"/>
                <w:szCs w:val="21"/>
                <w:lang w:val="en-US" w:eastAsia="zh-CN"/>
              </w:rPr>
              <w:t>14</w:t>
            </w:r>
          </w:p>
        </w:tc>
        <w:tc>
          <w:tcPr>
            <w:tcW w:w="879" w:type="dxa"/>
            <w:shd w:val="clear" w:color="auto" w:fill="auto"/>
            <w:vAlign w:val="center"/>
          </w:tcPr>
          <w:p w14:paraId="371AB74F">
            <w:pPr>
              <w:widowControl w:val="0"/>
              <w:jc w:val="center"/>
              <w:rPr>
                <w:rFonts w:hint="eastAsia" w:ascii="仿宋" w:hAnsi="仿宋" w:eastAsia="仿宋" w:cs="Arial"/>
                <w:snapToGrid w:val="0"/>
                <w:color w:val="000000"/>
                <w:kern w:val="0"/>
                <w:sz w:val="21"/>
                <w:szCs w:val="21"/>
                <w:lang w:val="en-US" w:eastAsia="zh-CN" w:bidi="ar-SA"/>
              </w:rPr>
            </w:pPr>
          </w:p>
        </w:tc>
        <w:tc>
          <w:tcPr>
            <w:tcW w:w="4111" w:type="dxa"/>
            <w:shd w:val="clear" w:color="auto" w:fill="auto"/>
            <w:vAlign w:val="center"/>
          </w:tcPr>
          <w:p w14:paraId="2E7ACCE0">
            <w:pPr>
              <w:widowControl w:val="0"/>
              <w:jc w:val="center"/>
              <w:rPr>
                <w:rFonts w:hint="eastAsia" w:ascii="仿宋" w:hAnsi="仿宋" w:eastAsia="仿宋" w:cs="Arial"/>
                <w:snapToGrid w:val="0"/>
                <w:color w:val="000000"/>
                <w:kern w:val="0"/>
                <w:sz w:val="21"/>
                <w:szCs w:val="21"/>
                <w:lang w:val="en-US" w:eastAsia="zh-CN" w:bidi="ar-SA"/>
              </w:rPr>
            </w:pPr>
          </w:p>
        </w:tc>
        <w:tc>
          <w:tcPr>
            <w:tcW w:w="1531" w:type="dxa"/>
            <w:shd w:val="clear" w:color="auto" w:fill="auto"/>
            <w:vAlign w:val="center"/>
          </w:tcPr>
          <w:p w14:paraId="523A0423">
            <w:pPr>
              <w:widowControl w:val="0"/>
              <w:jc w:val="center"/>
              <w:rPr>
                <w:rFonts w:hint="eastAsia" w:ascii="仿宋" w:hAnsi="仿宋" w:eastAsia="仿宋" w:cs="Arial"/>
                <w:snapToGrid w:val="0"/>
                <w:color w:val="000000"/>
                <w:kern w:val="0"/>
                <w:sz w:val="21"/>
                <w:szCs w:val="21"/>
                <w:lang w:val="en-US" w:eastAsia="zh-CN" w:bidi="ar-SA"/>
              </w:rPr>
            </w:pPr>
          </w:p>
        </w:tc>
        <w:tc>
          <w:tcPr>
            <w:tcW w:w="1157" w:type="dxa"/>
            <w:shd w:val="clear" w:color="auto" w:fill="auto"/>
            <w:vAlign w:val="center"/>
          </w:tcPr>
          <w:p w14:paraId="53EF4B1C">
            <w:pPr>
              <w:widowControl w:val="0"/>
              <w:rPr>
                <w:rFonts w:hint="eastAsia" w:ascii="仿宋" w:hAnsi="仿宋" w:eastAsia="仿宋" w:cs="Arial"/>
                <w:snapToGrid w:val="0"/>
                <w:color w:val="000000"/>
                <w:kern w:val="0"/>
                <w:sz w:val="21"/>
                <w:szCs w:val="21"/>
                <w:lang w:val="en-US" w:eastAsia="en-US" w:bidi="ar-SA"/>
              </w:rPr>
            </w:pPr>
          </w:p>
        </w:tc>
      </w:tr>
      <w:tr w14:paraId="283BB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9" w:type="dxa"/>
          </w:tcPr>
          <w:p w14:paraId="04ED88A0">
            <w:pPr>
              <w:widowControl w:val="0"/>
              <w:jc w:val="center"/>
              <w:rPr>
                <w:rFonts w:hint="default" w:ascii="仿宋" w:hAnsi="仿宋" w:eastAsia="仿宋"/>
                <w:szCs w:val="21"/>
                <w:lang w:val="en-US" w:eastAsia="zh-CN"/>
              </w:rPr>
            </w:pPr>
            <w:r>
              <w:rPr>
                <w:rFonts w:hint="eastAsia" w:ascii="仿宋" w:hAnsi="仿宋" w:eastAsia="仿宋"/>
                <w:szCs w:val="21"/>
                <w:lang w:val="en-US" w:eastAsia="zh-CN"/>
              </w:rPr>
              <w:t>15</w:t>
            </w:r>
          </w:p>
        </w:tc>
        <w:tc>
          <w:tcPr>
            <w:tcW w:w="879" w:type="dxa"/>
            <w:shd w:val="clear" w:color="auto" w:fill="auto"/>
            <w:vAlign w:val="center"/>
          </w:tcPr>
          <w:p w14:paraId="43155C27">
            <w:pPr>
              <w:widowControl w:val="0"/>
              <w:jc w:val="center"/>
              <w:rPr>
                <w:rFonts w:hint="eastAsia" w:ascii="仿宋" w:hAnsi="仿宋" w:eastAsia="仿宋" w:cs="Arial"/>
                <w:snapToGrid w:val="0"/>
                <w:color w:val="000000"/>
                <w:kern w:val="0"/>
                <w:sz w:val="21"/>
                <w:szCs w:val="21"/>
                <w:lang w:val="en-US" w:eastAsia="zh-CN" w:bidi="ar-SA"/>
              </w:rPr>
            </w:pPr>
          </w:p>
        </w:tc>
        <w:tc>
          <w:tcPr>
            <w:tcW w:w="4111" w:type="dxa"/>
            <w:shd w:val="clear" w:color="auto" w:fill="auto"/>
            <w:vAlign w:val="center"/>
          </w:tcPr>
          <w:p w14:paraId="2936236C">
            <w:pPr>
              <w:widowControl w:val="0"/>
              <w:jc w:val="center"/>
              <w:rPr>
                <w:rFonts w:hint="eastAsia" w:ascii="仿宋" w:hAnsi="仿宋" w:eastAsia="仿宋" w:cs="Arial"/>
                <w:snapToGrid w:val="0"/>
                <w:color w:val="000000"/>
                <w:kern w:val="0"/>
                <w:sz w:val="21"/>
                <w:szCs w:val="21"/>
                <w:lang w:val="en-US" w:eastAsia="zh-CN" w:bidi="ar-SA"/>
              </w:rPr>
            </w:pPr>
          </w:p>
        </w:tc>
        <w:tc>
          <w:tcPr>
            <w:tcW w:w="1531" w:type="dxa"/>
            <w:shd w:val="clear" w:color="auto" w:fill="auto"/>
            <w:vAlign w:val="center"/>
          </w:tcPr>
          <w:p w14:paraId="62F2FEAD">
            <w:pPr>
              <w:widowControl w:val="0"/>
              <w:jc w:val="center"/>
              <w:rPr>
                <w:rFonts w:hint="eastAsia" w:ascii="仿宋" w:hAnsi="仿宋" w:eastAsia="仿宋" w:cs="Arial"/>
                <w:snapToGrid w:val="0"/>
                <w:color w:val="000000"/>
                <w:kern w:val="0"/>
                <w:sz w:val="21"/>
                <w:szCs w:val="21"/>
                <w:lang w:val="en-US" w:eastAsia="zh-CN" w:bidi="ar-SA"/>
              </w:rPr>
            </w:pPr>
          </w:p>
        </w:tc>
        <w:tc>
          <w:tcPr>
            <w:tcW w:w="1157" w:type="dxa"/>
            <w:shd w:val="clear" w:color="auto" w:fill="auto"/>
            <w:vAlign w:val="center"/>
          </w:tcPr>
          <w:p w14:paraId="6E9C155D">
            <w:pPr>
              <w:widowControl w:val="0"/>
              <w:rPr>
                <w:rFonts w:hint="eastAsia" w:ascii="仿宋" w:hAnsi="仿宋" w:eastAsia="仿宋" w:cs="Arial"/>
                <w:snapToGrid w:val="0"/>
                <w:color w:val="000000"/>
                <w:kern w:val="0"/>
                <w:sz w:val="21"/>
                <w:szCs w:val="21"/>
                <w:lang w:val="en-US" w:eastAsia="en-US" w:bidi="ar-SA"/>
              </w:rPr>
            </w:pPr>
          </w:p>
        </w:tc>
      </w:tr>
    </w:tbl>
    <w:p w14:paraId="3D359FFE">
      <w:pPr>
        <w:keepNext w:val="0"/>
        <w:keepLines w:val="0"/>
        <w:pageBreakBefore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eastAsia" w:ascii="仿宋" w:hAnsi="仿宋" w:eastAsia="仿宋" w:cs="Times New Roman"/>
          <w:sz w:val="24"/>
          <w:szCs w:val="24"/>
        </w:rPr>
      </w:pP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3</w:t>
      </w:r>
      <w:r>
        <w:rPr>
          <w:rFonts w:hint="eastAsia" w:ascii="仿宋" w:hAnsi="仿宋" w:eastAsia="仿宋" w:cs="Times New Roman"/>
          <w:sz w:val="24"/>
          <w:szCs w:val="24"/>
          <w:lang w:eastAsia="zh-CN"/>
        </w:rPr>
        <w:t>）</w:t>
      </w:r>
      <w:r>
        <w:rPr>
          <w:rFonts w:hint="eastAsia" w:ascii="仿宋" w:hAnsi="仿宋" w:eastAsia="仿宋" w:cs="Times New Roman"/>
          <w:sz w:val="24"/>
          <w:szCs w:val="24"/>
        </w:rPr>
        <w:t>起草工作组讨论稿。</w:t>
      </w:r>
      <w:r>
        <w:rPr>
          <w:rFonts w:hint="eastAsia" w:ascii="仿宋" w:hAnsi="仿宋" w:eastAsia="仿宋" w:cs="Times New Roman"/>
          <w:sz w:val="24"/>
          <w:szCs w:val="24"/>
          <w:highlight w:val="none"/>
          <w:lang w:val="en-US" w:eastAsia="zh-CN"/>
        </w:rPr>
        <w:t>2025年10月至2025年12月</w:t>
      </w:r>
      <w:r>
        <w:rPr>
          <w:rFonts w:hint="eastAsia" w:ascii="仿宋" w:hAnsi="仿宋" w:eastAsia="仿宋" w:cs="Times New Roman"/>
          <w:sz w:val="24"/>
          <w:szCs w:val="24"/>
          <w:lang w:val="en-US" w:eastAsia="zh-CN"/>
        </w:rPr>
        <w:t>，</w:t>
      </w:r>
      <w:r>
        <w:rPr>
          <w:rFonts w:hint="eastAsia" w:ascii="仿宋" w:hAnsi="仿宋" w:eastAsia="仿宋" w:cs="Times New Roman"/>
          <w:sz w:val="24"/>
          <w:szCs w:val="24"/>
        </w:rPr>
        <w:t>起草工作组查阅、收集和整理了国内外有关研究进展和专利、标准、法规等文献资料，</w:t>
      </w:r>
      <w:r>
        <w:rPr>
          <w:rFonts w:hint="eastAsia" w:ascii="仿宋" w:hAnsi="仿宋" w:eastAsia="仿宋" w:cs="Times New Roman"/>
          <w:sz w:val="24"/>
          <w:szCs w:val="24"/>
          <w:lang w:eastAsia="zh-CN"/>
        </w:rPr>
        <w:t>先后调研湖南</w:t>
      </w:r>
      <w:r>
        <w:rPr>
          <w:rFonts w:hint="eastAsia" w:ascii="仿宋" w:hAnsi="仿宋" w:eastAsia="仿宋" w:cs="Times New Roman"/>
          <w:sz w:val="24"/>
          <w:szCs w:val="24"/>
          <w:lang w:val="en-US" w:eastAsia="zh-CN"/>
        </w:rPr>
        <w:t>禹健生物科技有限公司、</w:t>
      </w:r>
      <w:r>
        <w:rPr>
          <w:rFonts w:hint="eastAsia" w:ascii="仿宋" w:hAnsi="仿宋" w:eastAsia="仿宋" w:cs="Times New Roman"/>
          <w:sz w:val="24"/>
          <w:szCs w:val="24"/>
        </w:rPr>
        <w:t>湖南今汉生物医药技术有限公司</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中南林业科技大学等多糖及植物提取加工企业与科研院所，</w:t>
      </w:r>
      <w:r>
        <w:rPr>
          <w:rFonts w:hint="eastAsia" w:ascii="仿宋" w:hAnsi="仿宋" w:eastAsia="仿宋" w:cs="Times New Roman"/>
          <w:sz w:val="24"/>
          <w:szCs w:val="24"/>
        </w:rPr>
        <w:t>掌握了相关标准的现状；对文献中</w:t>
      </w:r>
      <w:r>
        <w:rPr>
          <w:rFonts w:hint="eastAsia" w:ascii="仿宋" w:hAnsi="仿宋" w:eastAsia="仿宋" w:cs="Times New Roman"/>
          <w:sz w:val="24"/>
          <w:szCs w:val="24"/>
          <w:lang w:val="en-US" w:eastAsia="zh-CN"/>
        </w:rPr>
        <w:t>菌物、</w:t>
      </w:r>
      <w:r>
        <w:rPr>
          <w:rFonts w:hint="eastAsia" w:ascii="仿宋" w:hAnsi="仿宋" w:eastAsia="仿宋" w:cs="Times New Roman"/>
          <w:sz w:val="24"/>
          <w:szCs w:val="24"/>
        </w:rPr>
        <w:t>植物</w:t>
      </w:r>
      <w:r>
        <w:rPr>
          <w:rFonts w:hint="eastAsia" w:ascii="仿宋" w:hAnsi="仿宋" w:eastAsia="仿宋" w:cs="Times New Roman"/>
          <w:sz w:val="24"/>
          <w:szCs w:val="24"/>
          <w:lang w:val="en-US" w:eastAsia="zh-CN"/>
        </w:rPr>
        <w:t>多糖</w:t>
      </w:r>
      <w:r>
        <w:rPr>
          <w:rFonts w:hint="eastAsia" w:ascii="仿宋" w:hAnsi="仿宋" w:eastAsia="仿宋" w:cs="Times New Roman"/>
          <w:sz w:val="24"/>
          <w:szCs w:val="24"/>
        </w:rPr>
        <w:t>提取</w:t>
      </w:r>
      <w:r>
        <w:rPr>
          <w:rFonts w:hint="eastAsia" w:ascii="仿宋" w:hAnsi="仿宋" w:eastAsia="仿宋" w:cs="Times New Roman"/>
          <w:sz w:val="24"/>
          <w:szCs w:val="24"/>
          <w:lang w:val="en-US" w:eastAsia="zh-CN"/>
        </w:rPr>
        <w:t>及纯化</w:t>
      </w:r>
      <w:r>
        <w:rPr>
          <w:rFonts w:hint="eastAsia" w:ascii="仿宋" w:hAnsi="仿宋" w:eastAsia="仿宋" w:cs="Times New Roman"/>
          <w:sz w:val="24"/>
          <w:szCs w:val="24"/>
        </w:rPr>
        <w:t>方法进行了对比和总结，为标准文本的编制奠定理论基础。</w:t>
      </w:r>
      <w:r>
        <w:rPr>
          <w:rFonts w:hint="eastAsia" w:ascii="仿宋" w:hAnsi="仿宋" w:eastAsia="仿宋" w:cs="Times New Roman"/>
          <w:sz w:val="24"/>
          <w:szCs w:val="24"/>
          <w:lang w:val="en-US" w:eastAsia="zh-CN"/>
        </w:rPr>
        <w:t>2025年12月至2026年1月，起草工作组在前期工作的基础上，研究提出了标准的修订思路和原则，确定了标准的框架结构和主要技术内容等，并编制完成标准开题论证报告和标准草案初稿。</w:t>
      </w:r>
      <w:r>
        <w:rPr>
          <w:rFonts w:hint="eastAsia" w:ascii="仿宋" w:hAnsi="仿宋" w:eastAsia="仿宋" w:cs="Times New Roman"/>
          <w:sz w:val="24"/>
          <w:szCs w:val="24"/>
        </w:rPr>
        <w:t>初步形成了标准草案。</w:t>
      </w:r>
    </w:p>
    <w:p w14:paraId="573B8C9A">
      <w:pPr>
        <w:keepNext w:val="0"/>
        <w:keepLines w:val="0"/>
        <w:pageBreakBefore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eastAsia" w:ascii="仿宋" w:hAnsi="仿宋" w:eastAsia="仿宋" w:cs="Times New Roman"/>
          <w:color w:val="auto"/>
          <w:sz w:val="24"/>
          <w:szCs w:val="24"/>
          <w:lang w:eastAsia="zh-CN"/>
        </w:rPr>
      </w:pPr>
      <w:r>
        <w:rPr>
          <w:rFonts w:hint="eastAsia" w:ascii="仿宋" w:hAnsi="仿宋" w:eastAsia="仿宋" w:cs="Times New Roman"/>
          <w:color w:val="auto"/>
          <w:sz w:val="24"/>
          <w:szCs w:val="24"/>
          <w:highlight w:val="none"/>
          <w:lang w:val="en-US" w:eastAsia="zh-CN"/>
        </w:rPr>
        <w:t>2026年2月，起草工作组组织召开标准内部研讨会和专家咨询会（</w:t>
      </w:r>
      <w:r>
        <w:rPr>
          <w:rFonts w:hint="eastAsia" w:ascii="仿宋" w:hAnsi="仿宋" w:eastAsia="仿宋" w:cs="Times New Roman"/>
          <w:color w:val="auto"/>
          <w:sz w:val="24"/>
          <w:szCs w:val="24"/>
        </w:rPr>
        <w:t>第</w:t>
      </w:r>
      <w:r>
        <w:rPr>
          <w:rFonts w:hint="eastAsia" w:ascii="仿宋" w:hAnsi="仿宋" w:eastAsia="仿宋" w:cs="Times New Roman"/>
          <w:color w:val="auto"/>
          <w:sz w:val="24"/>
          <w:szCs w:val="24"/>
          <w:lang w:eastAsia="zh-CN"/>
        </w:rPr>
        <w:t>一</w:t>
      </w:r>
      <w:r>
        <w:rPr>
          <w:rFonts w:hint="eastAsia" w:ascii="仿宋" w:hAnsi="仿宋" w:eastAsia="仿宋" w:cs="Times New Roman"/>
          <w:color w:val="auto"/>
          <w:sz w:val="24"/>
          <w:szCs w:val="24"/>
        </w:rPr>
        <w:t>次标准起草工作会</w:t>
      </w:r>
      <w:r>
        <w:rPr>
          <w:rFonts w:hint="eastAsia" w:ascii="仿宋" w:hAnsi="仿宋" w:eastAsia="仿宋" w:cs="Times New Roman"/>
          <w:color w:val="auto"/>
          <w:sz w:val="24"/>
          <w:szCs w:val="24"/>
          <w:highlight w:val="none"/>
          <w:lang w:val="en-US" w:eastAsia="zh-CN"/>
        </w:rPr>
        <w:t>），</w:t>
      </w:r>
      <w:r>
        <w:rPr>
          <w:rFonts w:hint="eastAsia" w:ascii="仿宋" w:hAnsi="仿宋" w:eastAsia="仿宋" w:cs="Times New Roman"/>
          <w:color w:val="auto"/>
          <w:sz w:val="24"/>
          <w:szCs w:val="24"/>
        </w:rPr>
        <w:t>参会单位包括</w:t>
      </w:r>
      <w:r>
        <w:rPr>
          <w:rFonts w:hint="eastAsia" w:ascii="仿宋" w:hAnsi="仿宋" w:eastAsia="仿宋" w:cs="Times New Roman"/>
          <w:color w:val="auto"/>
          <w:sz w:val="24"/>
          <w:szCs w:val="24"/>
          <w:lang w:val="en-US" w:eastAsia="zh-CN"/>
        </w:rPr>
        <w:t>湖南省食用菌研究所、中华全国供销总社昆明食用菌研究所、中南林业科技大学、湖南禹健生物科技有限公司</w:t>
      </w:r>
      <w:r>
        <w:rPr>
          <w:rFonts w:hint="eastAsia" w:ascii="仿宋" w:hAnsi="仿宋" w:eastAsia="仿宋" w:cs="Times New Roman"/>
          <w:color w:val="auto"/>
          <w:sz w:val="24"/>
          <w:szCs w:val="24"/>
        </w:rPr>
        <w:t>等。与会专家对《</w:t>
      </w:r>
      <w:r>
        <w:rPr>
          <w:rFonts w:hint="eastAsia" w:ascii="仿宋" w:hAnsi="仿宋" w:eastAsia="仿宋" w:cs="Times New Roman"/>
          <w:color w:val="auto"/>
          <w:sz w:val="24"/>
          <w:szCs w:val="24"/>
          <w:lang w:val="en-US" w:eastAsia="zh-CN"/>
        </w:rPr>
        <w:t>蛹虫草多糖提取技术规程</w:t>
      </w:r>
      <w:r>
        <w:rPr>
          <w:rFonts w:hint="eastAsia" w:ascii="仿宋" w:hAnsi="仿宋" w:eastAsia="仿宋" w:cs="Times New Roman"/>
          <w:color w:val="auto"/>
          <w:sz w:val="24"/>
          <w:szCs w:val="24"/>
        </w:rPr>
        <w:t>》标准草案的英文名称、范围、术语和定义、原料要求、</w:t>
      </w:r>
      <w:r>
        <w:rPr>
          <w:rFonts w:hint="eastAsia" w:ascii="仿宋" w:hAnsi="仿宋" w:eastAsia="仿宋" w:cs="Times New Roman"/>
          <w:color w:val="auto"/>
          <w:sz w:val="24"/>
          <w:szCs w:val="24"/>
          <w:lang w:val="en-US" w:eastAsia="zh-CN"/>
        </w:rPr>
        <w:t>多糖提取流程</w:t>
      </w:r>
      <w:r>
        <w:rPr>
          <w:rFonts w:hint="eastAsia" w:ascii="仿宋" w:hAnsi="仿宋" w:eastAsia="仿宋" w:cs="Times New Roman"/>
          <w:color w:val="auto"/>
          <w:sz w:val="24"/>
          <w:szCs w:val="24"/>
        </w:rPr>
        <w:t>、</w:t>
      </w:r>
      <w:r>
        <w:rPr>
          <w:rFonts w:hint="eastAsia" w:ascii="仿宋" w:hAnsi="仿宋" w:eastAsia="仿宋" w:cs="Times New Roman"/>
          <w:color w:val="auto"/>
          <w:sz w:val="24"/>
          <w:szCs w:val="24"/>
          <w:lang w:val="en-US" w:eastAsia="zh-CN"/>
        </w:rPr>
        <w:t>多糖</w:t>
      </w:r>
      <w:r>
        <w:rPr>
          <w:rFonts w:hint="eastAsia" w:ascii="仿宋" w:hAnsi="仿宋" w:eastAsia="仿宋" w:cs="Times New Roman"/>
          <w:color w:val="auto"/>
          <w:sz w:val="24"/>
          <w:szCs w:val="24"/>
        </w:rPr>
        <w:t>产品</w:t>
      </w:r>
      <w:r>
        <w:rPr>
          <w:rFonts w:hint="eastAsia" w:ascii="仿宋" w:hAnsi="仿宋" w:eastAsia="仿宋" w:cs="Times New Roman"/>
          <w:color w:val="auto"/>
          <w:sz w:val="24"/>
          <w:szCs w:val="24"/>
          <w:lang w:val="en-US" w:eastAsia="zh-CN"/>
        </w:rPr>
        <w:t>检测与</w:t>
      </w:r>
      <w:r>
        <w:rPr>
          <w:rFonts w:hint="eastAsia" w:ascii="仿宋" w:hAnsi="仿宋" w:eastAsia="仿宋" w:cs="Times New Roman"/>
          <w:color w:val="auto"/>
          <w:sz w:val="24"/>
          <w:szCs w:val="24"/>
        </w:rPr>
        <w:t>质量控制过程、质量管理等章、条逐一进行了修改</w:t>
      </w:r>
      <w:r>
        <w:rPr>
          <w:rFonts w:hint="eastAsia" w:ascii="仿宋" w:hAnsi="仿宋" w:eastAsia="仿宋" w:cs="Times New Roman"/>
          <w:color w:val="auto"/>
          <w:sz w:val="24"/>
          <w:szCs w:val="24"/>
          <w:lang w:eastAsia="zh-CN"/>
        </w:rPr>
        <w:t>完善</w:t>
      </w:r>
      <w:r>
        <w:rPr>
          <w:rFonts w:hint="eastAsia" w:ascii="仿宋" w:hAnsi="仿宋" w:eastAsia="仿宋" w:cs="Times New Roman"/>
          <w:color w:val="auto"/>
          <w:sz w:val="24"/>
          <w:szCs w:val="24"/>
        </w:rPr>
        <w:t>，会后根据修改意见形成了《</w:t>
      </w:r>
      <w:r>
        <w:rPr>
          <w:rFonts w:hint="eastAsia" w:ascii="仿宋" w:hAnsi="仿宋" w:eastAsia="仿宋" w:cs="Times New Roman"/>
          <w:color w:val="auto"/>
          <w:sz w:val="24"/>
          <w:szCs w:val="24"/>
          <w:lang w:val="en-US" w:eastAsia="zh-CN"/>
        </w:rPr>
        <w:t>蛹虫草多糖提取技术规程</w:t>
      </w:r>
      <w:r>
        <w:rPr>
          <w:rFonts w:hint="eastAsia" w:ascii="仿宋" w:hAnsi="仿宋" w:eastAsia="仿宋" w:cs="Times New Roman"/>
          <w:color w:val="auto"/>
          <w:sz w:val="24"/>
          <w:szCs w:val="24"/>
        </w:rPr>
        <w:t>》标准讨论稿</w:t>
      </w:r>
      <w:bookmarkStart w:id="7" w:name="_Toc8664"/>
      <w:r>
        <w:rPr>
          <w:rFonts w:hint="eastAsia" w:ascii="仿宋" w:hAnsi="仿宋" w:eastAsia="仿宋" w:cs="Times New Roman"/>
          <w:color w:val="auto"/>
          <w:sz w:val="24"/>
          <w:szCs w:val="24"/>
          <w:lang w:eastAsia="zh-CN"/>
        </w:rPr>
        <w:t>（第一稿）。</w:t>
      </w:r>
      <w:r>
        <w:rPr>
          <w:rFonts w:hint="eastAsia" w:ascii="仿宋" w:hAnsi="仿宋" w:eastAsia="仿宋" w:cs="Times New Roman"/>
          <w:color w:val="auto"/>
          <w:sz w:val="24"/>
          <w:szCs w:val="24"/>
          <w:lang w:val="en-US" w:eastAsia="zh-CN"/>
        </w:rPr>
        <w:t>2026年2月至3月，湖南省食用菌研究所对标准技术内容和工艺参数进行了验证，根据验证的试验数据，对</w:t>
      </w:r>
      <w:r>
        <w:rPr>
          <w:rFonts w:hint="eastAsia" w:ascii="仿宋" w:hAnsi="仿宋" w:eastAsia="仿宋" w:cs="Times New Roman"/>
          <w:color w:val="auto"/>
          <w:sz w:val="24"/>
          <w:szCs w:val="24"/>
        </w:rPr>
        <w:t>《</w:t>
      </w:r>
      <w:r>
        <w:rPr>
          <w:rFonts w:hint="eastAsia" w:ascii="仿宋" w:hAnsi="仿宋" w:eastAsia="仿宋" w:cs="Times New Roman"/>
          <w:color w:val="auto"/>
          <w:sz w:val="24"/>
          <w:szCs w:val="24"/>
          <w:lang w:val="en-US" w:eastAsia="zh-CN"/>
        </w:rPr>
        <w:t>蛹虫草多糖提取技术规程</w:t>
      </w:r>
      <w:r>
        <w:rPr>
          <w:rFonts w:hint="eastAsia" w:ascii="仿宋" w:hAnsi="仿宋" w:eastAsia="仿宋" w:cs="Times New Roman"/>
          <w:color w:val="auto"/>
          <w:sz w:val="24"/>
          <w:szCs w:val="24"/>
        </w:rPr>
        <w:t>》标准讨论稿</w:t>
      </w:r>
      <w:r>
        <w:rPr>
          <w:rFonts w:hint="eastAsia" w:ascii="仿宋" w:hAnsi="仿宋" w:eastAsia="仿宋" w:cs="Times New Roman"/>
          <w:color w:val="auto"/>
          <w:sz w:val="24"/>
          <w:szCs w:val="24"/>
          <w:lang w:eastAsia="zh-CN"/>
        </w:rPr>
        <w:t>（第一稿）部分技术内容进行了适当调整。</w:t>
      </w:r>
    </w:p>
    <w:p w14:paraId="6FE7A5BF">
      <w:pPr>
        <w:keepNext w:val="0"/>
        <w:keepLines w:val="0"/>
        <w:pageBreakBefore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eastAsia" w:ascii="仿宋" w:hAnsi="仿宋" w:eastAsia="仿宋" w:cs="Times New Roman"/>
          <w:color w:val="auto"/>
          <w:sz w:val="24"/>
          <w:szCs w:val="24"/>
          <w:lang w:eastAsia="zh-CN"/>
        </w:rPr>
      </w:pPr>
      <w:r>
        <w:rPr>
          <w:rFonts w:hint="eastAsia" w:ascii="仿宋" w:hAnsi="仿宋" w:eastAsia="仿宋" w:cs="Times New Roman"/>
          <w:color w:val="auto"/>
          <w:sz w:val="24"/>
          <w:szCs w:val="24"/>
          <w:lang w:val="en-US" w:eastAsia="zh-CN"/>
        </w:rPr>
        <w:t>2026年3月，</w:t>
      </w:r>
      <w:r>
        <w:rPr>
          <w:rFonts w:hint="eastAsia" w:ascii="仿宋" w:hAnsi="仿宋" w:eastAsia="仿宋" w:cs="Times New Roman"/>
          <w:color w:val="auto"/>
          <w:sz w:val="24"/>
          <w:szCs w:val="24"/>
        </w:rPr>
        <w:t>在《</w:t>
      </w:r>
      <w:r>
        <w:rPr>
          <w:rFonts w:hint="eastAsia" w:ascii="仿宋" w:hAnsi="仿宋" w:eastAsia="仿宋" w:cs="Times New Roman"/>
          <w:color w:val="auto"/>
          <w:sz w:val="24"/>
          <w:szCs w:val="24"/>
          <w:lang w:val="en-US" w:eastAsia="zh-CN"/>
        </w:rPr>
        <w:t>蛹虫草多糖提取技术规程</w:t>
      </w:r>
      <w:r>
        <w:rPr>
          <w:rFonts w:hint="eastAsia" w:ascii="仿宋" w:hAnsi="仿宋" w:eastAsia="仿宋" w:cs="Times New Roman"/>
          <w:color w:val="auto"/>
          <w:sz w:val="24"/>
          <w:szCs w:val="24"/>
        </w:rPr>
        <w:t>》</w:t>
      </w:r>
      <w:r>
        <w:rPr>
          <w:rFonts w:hint="eastAsia" w:ascii="仿宋" w:hAnsi="仿宋" w:eastAsia="仿宋" w:cs="Times New Roman"/>
          <w:color w:val="auto"/>
          <w:sz w:val="24"/>
          <w:szCs w:val="24"/>
          <w:lang w:val="en-US" w:eastAsia="zh-CN"/>
        </w:rPr>
        <w:t>行业</w:t>
      </w:r>
      <w:r>
        <w:rPr>
          <w:rFonts w:hint="eastAsia" w:ascii="仿宋" w:hAnsi="仿宋" w:eastAsia="仿宋" w:cs="Times New Roman"/>
          <w:color w:val="auto"/>
          <w:sz w:val="24"/>
          <w:szCs w:val="24"/>
        </w:rPr>
        <w:t>标准第一次起草工作会议的基础上，</w:t>
      </w:r>
      <w:r>
        <w:rPr>
          <w:rFonts w:hint="eastAsia" w:ascii="仿宋" w:hAnsi="仿宋" w:eastAsia="仿宋" w:cs="Times New Roman"/>
          <w:color w:val="auto"/>
          <w:sz w:val="24"/>
          <w:szCs w:val="24"/>
          <w:lang w:val="en-US" w:eastAsia="zh-CN"/>
        </w:rPr>
        <w:t>起草工作组组织召开第二次标准起草工作会，参会单位包括湖南省食用菌研究所、湖南湘韵健康产业有限公司、湖南禹健生物科技有限公司、中南林业科技大学等，各参会单位代表围绕标准讨论稿（第一稿）的核心内容展开深入研讨，重点针对术语定义规范、工艺参数优化、方法的可行性、质量控制指标的合理性等关键环节，提出针对性修改建议。起草工作组梳理各修改建议，并对标准进行修改完善，形成</w:t>
      </w:r>
      <w:r>
        <w:rPr>
          <w:rFonts w:ascii="仿宋" w:hAnsi="仿宋" w:eastAsia="仿宋" w:cs="Times New Roman"/>
          <w:color w:val="auto"/>
          <w:sz w:val="24"/>
          <w:szCs w:val="24"/>
        </w:rPr>
        <w:t>工作组讨论稿（第二稿）</w:t>
      </w:r>
      <w:r>
        <w:rPr>
          <w:rFonts w:hint="eastAsia" w:ascii="仿宋" w:hAnsi="仿宋" w:eastAsia="仿宋" w:cs="Times New Roman"/>
          <w:color w:val="auto"/>
          <w:sz w:val="24"/>
          <w:szCs w:val="24"/>
          <w:lang w:eastAsia="zh-CN"/>
        </w:rPr>
        <w:t>。</w:t>
      </w:r>
    </w:p>
    <w:p w14:paraId="20CCAC7E">
      <w:pPr>
        <w:keepNext w:val="0"/>
        <w:keepLines w:val="0"/>
        <w:pageBreakBefore w:val="0"/>
        <w:kinsoku/>
        <w:wordWrap/>
        <w:overflowPunct/>
        <w:topLinePunct w:val="0"/>
        <w:autoSpaceDE/>
        <w:autoSpaceDN/>
        <w:bidi w:val="0"/>
        <w:adjustRightInd/>
        <w:snapToGrid/>
        <w:spacing w:line="560" w:lineRule="exact"/>
        <w:ind w:firstLine="480" w:firstLineChars="200"/>
        <w:jc w:val="both"/>
        <w:textAlignment w:val="auto"/>
        <w:rPr>
          <w:rFonts w:hint="eastAsia" w:ascii="仿宋" w:hAnsi="仿宋" w:eastAsia="仿宋" w:cs="Times New Roman"/>
          <w:color w:val="auto"/>
          <w:sz w:val="24"/>
          <w:szCs w:val="24"/>
          <w:highlight w:val="none"/>
          <w:lang w:val="en-US" w:eastAsia="zh-CN"/>
        </w:rPr>
      </w:pPr>
      <w:r>
        <w:rPr>
          <w:rFonts w:hint="default" w:ascii="仿宋" w:hAnsi="仿宋" w:eastAsia="仿宋" w:cs="Times New Roman"/>
          <w:color w:val="auto"/>
          <w:sz w:val="24"/>
          <w:szCs w:val="24"/>
          <w:highlight w:val="none"/>
          <w:lang w:val="en-US" w:eastAsia="zh-CN"/>
        </w:rPr>
        <w:t>202</w:t>
      </w:r>
      <w:r>
        <w:rPr>
          <w:rFonts w:hint="eastAsia" w:ascii="仿宋" w:hAnsi="仿宋" w:eastAsia="仿宋" w:cs="Times New Roman"/>
          <w:color w:val="auto"/>
          <w:sz w:val="24"/>
          <w:szCs w:val="24"/>
          <w:highlight w:val="none"/>
          <w:lang w:val="en-US" w:eastAsia="zh-CN"/>
        </w:rPr>
        <w:t>6</w:t>
      </w:r>
      <w:r>
        <w:rPr>
          <w:rFonts w:hint="default" w:ascii="仿宋" w:hAnsi="仿宋" w:eastAsia="仿宋" w:cs="Times New Roman"/>
          <w:color w:val="auto"/>
          <w:sz w:val="24"/>
          <w:szCs w:val="24"/>
          <w:highlight w:val="none"/>
          <w:lang w:val="en-US" w:eastAsia="zh-CN"/>
        </w:rPr>
        <w:t>年</w:t>
      </w:r>
      <w:r>
        <w:rPr>
          <w:rFonts w:hint="eastAsia" w:ascii="仿宋" w:hAnsi="仿宋" w:eastAsia="仿宋" w:cs="Times New Roman"/>
          <w:color w:val="auto"/>
          <w:sz w:val="24"/>
          <w:szCs w:val="24"/>
          <w:highlight w:val="none"/>
          <w:lang w:val="en-US" w:eastAsia="zh-CN"/>
        </w:rPr>
        <w:t>3</w:t>
      </w:r>
      <w:r>
        <w:rPr>
          <w:rFonts w:hint="default" w:ascii="仿宋" w:hAnsi="仿宋" w:eastAsia="仿宋" w:cs="Times New Roman"/>
          <w:color w:val="auto"/>
          <w:sz w:val="24"/>
          <w:szCs w:val="24"/>
          <w:highlight w:val="none"/>
          <w:lang w:val="en-US" w:eastAsia="zh-CN"/>
        </w:rPr>
        <w:t>月至</w:t>
      </w:r>
      <w:r>
        <w:rPr>
          <w:rFonts w:hint="eastAsia" w:ascii="仿宋" w:hAnsi="仿宋" w:eastAsia="仿宋" w:cs="Times New Roman"/>
          <w:color w:val="auto"/>
          <w:sz w:val="24"/>
          <w:szCs w:val="24"/>
          <w:highlight w:val="none"/>
          <w:lang w:val="en-US" w:eastAsia="zh-CN"/>
        </w:rPr>
        <w:t>4</w:t>
      </w:r>
      <w:r>
        <w:rPr>
          <w:rFonts w:hint="default" w:ascii="仿宋" w:hAnsi="仿宋" w:eastAsia="仿宋" w:cs="Times New Roman"/>
          <w:color w:val="auto"/>
          <w:sz w:val="24"/>
          <w:szCs w:val="24"/>
          <w:highlight w:val="none"/>
          <w:lang w:val="en-US" w:eastAsia="zh-CN"/>
        </w:rPr>
        <w:t>月，起草组将工作组讨论稿（第二稿）向湖南省农业农村厅</w:t>
      </w:r>
      <w:r>
        <w:rPr>
          <w:rFonts w:hint="eastAsia" w:ascii="仿宋" w:hAnsi="仿宋" w:eastAsia="仿宋" w:cs="Times New Roman"/>
          <w:color w:val="auto"/>
          <w:sz w:val="24"/>
          <w:szCs w:val="24"/>
          <w:highlight w:val="none"/>
          <w:lang w:val="en-US" w:eastAsia="zh-CN"/>
        </w:rPr>
        <w:t>、</w:t>
      </w:r>
      <w:r>
        <w:rPr>
          <w:rFonts w:hint="default" w:ascii="仿宋" w:hAnsi="仿宋" w:eastAsia="仿宋" w:cs="Times New Roman"/>
          <w:color w:val="auto"/>
          <w:sz w:val="24"/>
          <w:szCs w:val="24"/>
          <w:highlight w:val="none"/>
          <w:lang w:val="en-US" w:eastAsia="zh-CN"/>
        </w:rPr>
        <w:t>上海市农科院食用菌研究所</w:t>
      </w:r>
      <w:r>
        <w:rPr>
          <w:rFonts w:hint="eastAsia" w:ascii="仿宋" w:hAnsi="仿宋" w:eastAsia="仿宋" w:cs="Times New Roman"/>
          <w:color w:val="auto"/>
          <w:sz w:val="24"/>
          <w:szCs w:val="24"/>
          <w:highlight w:val="none"/>
          <w:lang w:val="en-US" w:eastAsia="zh-CN"/>
        </w:rPr>
        <w:t>、四川省食用菌研究所、广东省科学院微生物研究所、湖南省食用菌协会、湖北省食用菌协会、湖南师范大学、山东农业大学、中南林业科技大学、济南果品研究院、湖南禹健生物科技有限公司</w:t>
      </w:r>
      <w:r>
        <w:rPr>
          <w:rFonts w:hint="default" w:ascii="仿宋" w:hAnsi="仿宋" w:eastAsia="仿宋" w:cs="Times New Roman"/>
          <w:color w:val="auto"/>
          <w:sz w:val="24"/>
          <w:szCs w:val="24"/>
          <w:highlight w:val="none"/>
          <w:lang w:val="en-US" w:eastAsia="zh-CN"/>
        </w:rPr>
        <w:t>等</w:t>
      </w:r>
      <w:r>
        <w:rPr>
          <w:rFonts w:hint="eastAsia" w:ascii="仿宋" w:hAnsi="仿宋" w:eastAsia="仿宋" w:cs="Times New Roman"/>
          <w:color w:val="auto"/>
          <w:sz w:val="24"/>
          <w:szCs w:val="24"/>
          <w:highlight w:val="none"/>
          <w:lang w:val="en-US" w:eastAsia="zh-CN"/>
        </w:rPr>
        <w:t>24余家政府部门、</w:t>
      </w:r>
      <w:r>
        <w:rPr>
          <w:rFonts w:hint="default" w:ascii="仿宋" w:hAnsi="仿宋" w:eastAsia="仿宋" w:cs="Times New Roman"/>
          <w:color w:val="auto"/>
          <w:sz w:val="24"/>
          <w:szCs w:val="24"/>
          <w:highlight w:val="none"/>
          <w:lang w:val="en-US" w:eastAsia="zh-CN"/>
        </w:rPr>
        <w:t>科研机构</w:t>
      </w:r>
      <w:r>
        <w:rPr>
          <w:rFonts w:hint="eastAsia" w:ascii="仿宋" w:hAnsi="仿宋" w:eastAsia="仿宋" w:cs="Times New Roman"/>
          <w:color w:val="auto"/>
          <w:sz w:val="24"/>
          <w:szCs w:val="24"/>
          <w:highlight w:val="none"/>
          <w:lang w:val="en-US" w:eastAsia="zh-CN"/>
        </w:rPr>
        <w:t>、</w:t>
      </w:r>
      <w:r>
        <w:rPr>
          <w:rFonts w:hint="default" w:ascii="仿宋" w:hAnsi="仿宋" w:eastAsia="仿宋" w:cs="Times New Roman"/>
          <w:color w:val="auto"/>
          <w:sz w:val="24"/>
          <w:szCs w:val="24"/>
          <w:highlight w:val="none"/>
          <w:lang w:val="en-US" w:eastAsia="zh-CN"/>
        </w:rPr>
        <w:t>高校</w:t>
      </w:r>
      <w:r>
        <w:rPr>
          <w:rFonts w:hint="eastAsia" w:ascii="仿宋" w:hAnsi="仿宋" w:eastAsia="仿宋" w:cs="Times New Roman"/>
          <w:color w:val="auto"/>
          <w:sz w:val="24"/>
          <w:szCs w:val="24"/>
          <w:highlight w:val="none"/>
          <w:lang w:val="en-US" w:eastAsia="zh-CN"/>
        </w:rPr>
        <w:t>以及相关企业</w:t>
      </w:r>
      <w:r>
        <w:rPr>
          <w:rFonts w:hint="default" w:ascii="仿宋" w:hAnsi="仿宋" w:eastAsia="仿宋" w:cs="Times New Roman"/>
          <w:color w:val="auto"/>
          <w:sz w:val="24"/>
          <w:szCs w:val="24"/>
          <w:highlight w:val="none"/>
          <w:lang w:val="en-US" w:eastAsia="zh-CN"/>
        </w:rPr>
        <w:t>，就标准条款设置和主要技术内容、关键生产工艺及技术参数等征求意见，共收到反馈意见</w:t>
      </w:r>
      <w:r>
        <w:rPr>
          <w:rFonts w:hint="eastAsia" w:ascii="仿宋" w:hAnsi="仿宋" w:eastAsia="仿宋" w:cs="Times New Roman"/>
          <w:color w:val="auto"/>
          <w:sz w:val="24"/>
          <w:szCs w:val="24"/>
          <w:highlight w:val="none"/>
          <w:lang w:val="en-US" w:eastAsia="zh-CN"/>
        </w:rPr>
        <w:t>61条</w:t>
      </w:r>
      <w:r>
        <w:rPr>
          <w:rFonts w:hint="default" w:ascii="仿宋" w:hAnsi="仿宋" w:eastAsia="仿宋" w:cs="Times New Roman"/>
          <w:color w:val="auto"/>
          <w:sz w:val="24"/>
          <w:szCs w:val="24"/>
          <w:highlight w:val="none"/>
          <w:lang w:val="en-US" w:eastAsia="zh-CN"/>
        </w:rPr>
        <w:t>。从反馈意见看，科研机构、高校、行业协会及专家主要关注标准的结构和表述的规范性，技术参数的科学性和合理性。政府部门主要关注标准中条款设置及表述的法律法规和政策依据</w:t>
      </w:r>
      <w:r>
        <w:rPr>
          <w:rFonts w:hint="eastAsia" w:ascii="仿宋" w:hAnsi="仿宋" w:eastAsia="仿宋" w:cs="Times New Roman"/>
          <w:color w:val="auto"/>
          <w:sz w:val="24"/>
          <w:szCs w:val="24"/>
          <w:highlight w:val="none"/>
          <w:lang w:val="en-US" w:eastAsia="zh-CN"/>
        </w:rPr>
        <w:t>。</w:t>
      </w:r>
    </w:p>
    <w:p w14:paraId="5FAA80E6">
      <w:pPr>
        <w:keepNext w:val="0"/>
        <w:keepLines w:val="0"/>
        <w:pageBreakBefore w:val="0"/>
        <w:kinsoku/>
        <w:wordWrap/>
        <w:overflowPunct/>
        <w:topLinePunct w:val="0"/>
        <w:autoSpaceDE/>
        <w:autoSpaceDN/>
        <w:bidi w:val="0"/>
        <w:adjustRightInd/>
        <w:snapToGrid/>
        <w:spacing w:line="560" w:lineRule="exact"/>
        <w:ind w:firstLine="480" w:firstLineChars="200"/>
        <w:jc w:val="both"/>
        <w:textAlignment w:val="auto"/>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（5）形成标准征求意见稿和编制说明</w:t>
      </w:r>
      <w:bookmarkEnd w:id="7"/>
      <w:r>
        <w:rPr>
          <w:rFonts w:hint="eastAsia" w:ascii="仿宋" w:hAnsi="仿宋" w:eastAsia="仿宋" w:cs="Times New Roman"/>
          <w:color w:val="auto"/>
          <w:sz w:val="24"/>
          <w:szCs w:val="24"/>
          <w:highlight w:val="none"/>
          <w:lang w:val="en-US" w:eastAsia="zh-CN"/>
        </w:rPr>
        <w:t>。2026年4月至27月，起草组先后在湖南省食用菌研究所召开《蛹虫草多糖提取技术规程》标准研讨会。参会单位包括湖南省食用菌研究所、湖南禹健生物科技有限公司、湖南省食用菌协会、湖南中茂生物科技有限公司等，会议就工作组讨论稿（第二稿）线下征求到的意见是否采纳开展研讨。起草组对各单位和专家反馈的意见建议进行认真研究，就采纳、部分采纳、不采纳进行反复推敲，最终采纳 36 条、部分采纳 10 条、不采纳 15 条。不采纳的原因主要有：按照采纳的意见对标准内容调整后部分意见已不适用，标准中部分技术要求及条款表述方式与现行法律法规和国家标准保持协调不宜调整。经调整、补充和完善，根据讨论结果修改形成了《蛹虫草多糖提取技术规程》征求意见稿及编制说明。</w:t>
      </w:r>
    </w:p>
    <w:p w14:paraId="4ECAED41">
      <w:pPr>
        <w:spacing w:line="360" w:lineRule="auto"/>
        <w:ind w:firstLine="482" w:firstLineChars="200"/>
        <w:rPr>
          <w:rFonts w:ascii="仿宋" w:hAnsi="仿宋" w:eastAsia="仿宋" w:cs="Times New Roman"/>
          <w:b/>
          <w:sz w:val="24"/>
          <w:szCs w:val="24"/>
        </w:rPr>
      </w:pPr>
      <w:bookmarkStart w:id="8" w:name="_Toc8843"/>
      <w:r>
        <w:rPr>
          <w:rFonts w:hint="eastAsia" w:ascii="仿宋" w:hAnsi="仿宋" w:eastAsia="仿宋" w:cs="Times New Roman"/>
          <w:b/>
          <w:sz w:val="24"/>
          <w:szCs w:val="24"/>
        </w:rPr>
        <w:t>2.征求意见阶段</w:t>
      </w:r>
    </w:p>
    <w:p w14:paraId="0756E5FF">
      <w:pPr>
        <w:spacing w:line="360" w:lineRule="auto"/>
        <w:ind w:firstLine="480" w:firstLineChars="200"/>
        <w:jc w:val="both"/>
        <w:rPr>
          <w:rFonts w:ascii="仿宋" w:hAnsi="仿宋" w:eastAsia="仿宋" w:cs="Times New Roman"/>
          <w:sz w:val="24"/>
          <w:szCs w:val="24"/>
        </w:rPr>
      </w:pPr>
      <w:r>
        <w:rPr>
          <w:rFonts w:hint="eastAsia" w:ascii="仿宋" w:hAnsi="仿宋" w:eastAsia="仿宋" w:cs="Times New Roman"/>
          <w:sz w:val="24"/>
          <w:szCs w:val="24"/>
        </w:rPr>
        <w:t>202</w:t>
      </w:r>
      <w:r>
        <w:rPr>
          <w:rFonts w:hint="eastAsia" w:ascii="仿宋" w:hAnsi="仿宋" w:eastAsia="仿宋" w:cs="Times New Roman"/>
          <w:sz w:val="24"/>
          <w:szCs w:val="24"/>
          <w:lang w:val="en-US" w:eastAsia="zh-CN"/>
        </w:rPr>
        <w:t>6</w:t>
      </w:r>
      <w:r>
        <w:rPr>
          <w:rFonts w:hint="eastAsia" w:ascii="仿宋" w:hAnsi="仿宋" w:eastAsia="仿宋" w:cs="Times New Roman"/>
          <w:sz w:val="24"/>
          <w:szCs w:val="24"/>
        </w:rPr>
        <w:t>年</w:t>
      </w:r>
      <w:r>
        <w:rPr>
          <w:rFonts w:hint="eastAsia" w:ascii="仿宋" w:hAnsi="仿宋" w:eastAsia="仿宋" w:cs="Times New Roman"/>
          <w:sz w:val="24"/>
          <w:szCs w:val="24"/>
          <w:lang w:val="en-US" w:eastAsia="zh-CN"/>
        </w:rPr>
        <w:t xml:space="preserve">   </w:t>
      </w:r>
      <w:r>
        <w:rPr>
          <w:rFonts w:hint="eastAsia" w:ascii="仿宋" w:hAnsi="仿宋" w:eastAsia="仿宋" w:cs="Times New Roman"/>
          <w:sz w:val="24"/>
          <w:szCs w:val="24"/>
        </w:rPr>
        <w:t>月</w:t>
      </w:r>
      <w:r>
        <w:rPr>
          <w:rFonts w:hint="eastAsia" w:ascii="仿宋" w:hAnsi="仿宋" w:eastAsia="仿宋" w:cs="Times New Roman"/>
          <w:sz w:val="24"/>
          <w:szCs w:val="24"/>
          <w:lang w:val="en-US" w:eastAsia="zh-CN"/>
        </w:rPr>
        <w:t xml:space="preserve">   </w:t>
      </w:r>
      <w:r>
        <w:rPr>
          <w:rFonts w:hint="eastAsia" w:ascii="仿宋" w:hAnsi="仿宋" w:eastAsia="仿宋" w:cs="Times New Roman"/>
          <w:sz w:val="24"/>
          <w:szCs w:val="24"/>
        </w:rPr>
        <w:t>日至</w:t>
      </w:r>
      <w:r>
        <w:rPr>
          <w:rFonts w:hint="eastAsia" w:ascii="仿宋" w:hAnsi="仿宋" w:eastAsia="仿宋" w:cs="Times New Roman"/>
          <w:sz w:val="24"/>
          <w:szCs w:val="24"/>
          <w:lang w:val="en-US" w:eastAsia="zh-CN"/>
        </w:rPr>
        <w:t xml:space="preserve">   </w:t>
      </w:r>
      <w:r>
        <w:rPr>
          <w:rFonts w:hint="eastAsia" w:ascii="仿宋" w:hAnsi="仿宋" w:eastAsia="仿宋" w:cs="Times New Roman"/>
          <w:sz w:val="24"/>
          <w:szCs w:val="24"/>
        </w:rPr>
        <w:t>月</w:t>
      </w:r>
      <w:r>
        <w:rPr>
          <w:rFonts w:hint="eastAsia" w:ascii="仿宋" w:hAnsi="仿宋" w:eastAsia="仿宋" w:cs="Times New Roman"/>
          <w:sz w:val="24"/>
          <w:szCs w:val="24"/>
          <w:lang w:val="en-US" w:eastAsia="zh-CN"/>
        </w:rPr>
        <w:t xml:space="preserve">   </w:t>
      </w:r>
      <w:r>
        <w:rPr>
          <w:rFonts w:hint="eastAsia" w:ascii="仿宋" w:hAnsi="仿宋" w:eastAsia="仿宋" w:cs="Times New Roman"/>
          <w:sz w:val="24"/>
          <w:szCs w:val="24"/>
        </w:rPr>
        <w:t>日，标准征求意见稿在</w:t>
      </w:r>
      <w:r>
        <w:rPr>
          <w:rFonts w:hint="eastAsia" w:ascii="仿宋" w:hAnsi="仿宋" w:eastAsia="仿宋" w:cs="Times New Roman"/>
          <w:sz w:val="24"/>
          <w:szCs w:val="24"/>
          <w:lang w:val="en-US" w:eastAsia="zh-CN"/>
        </w:rPr>
        <w:t>中国食用菌协会、湖南省供销合作社、湖南省食用菌协网站</w:t>
      </w:r>
      <w:r>
        <w:rPr>
          <w:rFonts w:hint="eastAsia" w:ascii="仿宋" w:hAnsi="仿宋" w:eastAsia="仿宋" w:cs="Times New Roman"/>
          <w:sz w:val="24"/>
          <w:szCs w:val="24"/>
        </w:rPr>
        <w:t>向社会公开征求意见，同时向</w:t>
      </w:r>
      <w:r>
        <w:rPr>
          <w:rFonts w:hint="eastAsia" w:ascii="仿宋" w:hAnsi="仿宋" w:eastAsia="仿宋" w:cs="Times New Roman"/>
          <w:sz w:val="24"/>
          <w:szCs w:val="24"/>
          <w:lang w:val="en-US" w:eastAsia="zh-CN"/>
        </w:rPr>
        <w:t>上海市农业科学院食用菌研究所，中南大学、中南林业科技大学</w:t>
      </w:r>
      <w:r>
        <w:rPr>
          <w:rFonts w:hint="eastAsia" w:ascii="仿宋" w:hAnsi="仿宋" w:eastAsia="仿宋" w:cs="Times New Roman"/>
          <w:sz w:val="24"/>
          <w:szCs w:val="24"/>
        </w:rPr>
        <w:t>、湖南中医药大学、中国</w:t>
      </w:r>
      <w:r>
        <w:rPr>
          <w:rFonts w:hint="eastAsia" w:ascii="仿宋" w:hAnsi="仿宋" w:eastAsia="仿宋" w:cs="Times New Roman"/>
          <w:sz w:val="24"/>
          <w:szCs w:val="24"/>
          <w:lang w:val="en-US" w:eastAsia="zh-CN"/>
        </w:rPr>
        <w:t>食用菌协会药用真菌协会等</w:t>
      </w:r>
      <w:r>
        <w:rPr>
          <w:rFonts w:hint="eastAsia" w:ascii="仿宋" w:hAnsi="仿宋" w:eastAsia="仿宋" w:cs="Times New Roman"/>
          <w:sz w:val="24"/>
          <w:szCs w:val="24"/>
        </w:rPr>
        <w:t>科研机构、高校、企业、政府部门和社会组织征求意见。共收到</w:t>
      </w:r>
      <w:r>
        <w:rPr>
          <w:rFonts w:hint="eastAsia" w:ascii="仿宋" w:hAnsi="仿宋" w:eastAsia="仿宋" w:cs="Times New Roman"/>
          <w:sz w:val="24"/>
          <w:szCs w:val="24"/>
          <w:lang w:val="en-US" w:eastAsia="zh-CN"/>
        </w:rPr>
        <w:t xml:space="preserve">    </w:t>
      </w:r>
      <w:r>
        <w:rPr>
          <w:rFonts w:hint="eastAsia" w:ascii="仿宋" w:hAnsi="仿宋" w:eastAsia="仿宋" w:cs="Times New Roman"/>
          <w:sz w:val="24"/>
          <w:szCs w:val="24"/>
        </w:rPr>
        <w:t>个单位反馈，其中</w:t>
      </w:r>
      <w:r>
        <w:rPr>
          <w:rFonts w:hint="eastAsia" w:ascii="仿宋" w:hAnsi="仿宋" w:eastAsia="仿宋" w:cs="Times New Roman"/>
          <w:sz w:val="24"/>
          <w:szCs w:val="24"/>
          <w:lang w:val="en-US" w:eastAsia="zh-CN"/>
        </w:rPr>
        <w:t xml:space="preserve">   </w:t>
      </w:r>
      <w:r>
        <w:rPr>
          <w:rFonts w:hint="eastAsia" w:ascii="仿宋" w:hAnsi="仿宋" w:eastAsia="仿宋" w:cs="Times New Roman"/>
          <w:sz w:val="24"/>
          <w:szCs w:val="24"/>
        </w:rPr>
        <w:t>个单位赞成无意见，</w:t>
      </w:r>
      <w:r>
        <w:rPr>
          <w:rFonts w:hint="eastAsia" w:ascii="仿宋" w:hAnsi="仿宋" w:eastAsia="仿宋" w:cs="Times New Roman"/>
          <w:sz w:val="24"/>
          <w:szCs w:val="24"/>
          <w:lang w:val="en-US" w:eastAsia="zh-CN"/>
        </w:rPr>
        <w:t xml:space="preserve">   </w:t>
      </w:r>
      <w:r>
        <w:rPr>
          <w:rFonts w:hint="eastAsia" w:ascii="仿宋" w:hAnsi="仿宋" w:eastAsia="仿宋" w:cs="Times New Roman"/>
          <w:sz w:val="24"/>
          <w:szCs w:val="24"/>
        </w:rPr>
        <w:t>个单位赞成并提出意见</w:t>
      </w:r>
      <w:r>
        <w:rPr>
          <w:rFonts w:hint="eastAsia" w:ascii="仿宋" w:hAnsi="仿宋" w:eastAsia="仿宋" w:cs="Times New Roman"/>
          <w:sz w:val="24"/>
          <w:szCs w:val="24"/>
          <w:lang w:val="en-US" w:eastAsia="zh-CN"/>
        </w:rPr>
        <w:t xml:space="preserve">    </w:t>
      </w:r>
      <w:r>
        <w:rPr>
          <w:rFonts w:hint="eastAsia" w:ascii="仿宋" w:hAnsi="仿宋" w:eastAsia="仿宋" w:cs="Times New Roman"/>
          <w:sz w:val="24"/>
          <w:szCs w:val="24"/>
        </w:rPr>
        <w:t>条，见表2。</w:t>
      </w:r>
    </w:p>
    <w:p w14:paraId="0D9A64A3">
      <w:pPr>
        <w:spacing w:line="360" w:lineRule="auto"/>
        <w:jc w:val="center"/>
        <w:rPr>
          <w:rFonts w:ascii="黑体" w:hAnsi="黑体" w:eastAsia="黑体" w:cs="Times New Roman"/>
          <w:sz w:val="24"/>
          <w:szCs w:val="24"/>
        </w:rPr>
      </w:pPr>
      <w:r>
        <w:rPr>
          <w:rFonts w:hint="eastAsia" w:ascii="黑体" w:hAnsi="黑体" w:eastAsia="黑体" w:cs="Times New Roman"/>
          <w:sz w:val="24"/>
          <w:szCs w:val="24"/>
        </w:rPr>
        <w:t>表</w:t>
      </w:r>
      <w:r>
        <w:rPr>
          <w:rFonts w:ascii="黑体" w:hAnsi="黑体" w:eastAsia="黑体" w:cs="Times New Roman"/>
          <w:sz w:val="24"/>
          <w:szCs w:val="24"/>
        </w:rPr>
        <w:t xml:space="preserve">2 </w:t>
      </w:r>
      <w:r>
        <w:rPr>
          <w:rFonts w:hint="eastAsia" w:ascii="黑体" w:hAnsi="黑体" w:eastAsia="黑体" w:cs="Times New Roman"/>
          <w:sz w:val="24"/>
          <w:szCs w:val="24"/>
        </w:rPr>
        <w:t>意见反馈汇总表</w:t>
      </w:r>
    </w:p>
    <w:tbl>
      <w:tblPr>
        <w:tblStyle w:val="11"/>
        <w:tblW w:w="81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50"/>
        <w:gridCol w:w="3119"/>
        <w:gridCol w:w="1701"/>
        <w:gridCol w:w="1735"/>
      </w:tblGrid>
      <w:tr w14:paraId="0025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blHeader/>
          <w:jc w:val="center"/>
        </w:trPr>
        <w:tc>
          <w:tcPr>
            <w:tcW w:w="709" w:type="dxa"/>
            <w:vAlign w:val="center"/>
          </w:tcPr>
          <w:p w14:paraId="51E2D237">
            <w:pPr>
              <w:jc w:val="center"/>
              <w:rPr>
                <w:rFonts w:ascii="仿宋" w:hAnsi="仿宋" w:eastAsia="仿宋"/>
                <w:b/>
                <w:szCs w:val="21"/>
              </w:rPr>
            </w:pPr>
            <w:r>
              <w:rPr>
                <w:rFonts w:hint="eastAsia" w:ascii="仿宋" w:hAnsi="仿宋" w:eastAsia="仿宋"/>
                <w:b/>
                <w:szCs w:val="21"/>
              </w:rPr>
              <w:t>序号</w:t>
            </w:r>
          </w:p>
        </w:tc>
        <w:tc>
          <w:tcPr>
            <w:tcW w:w="850" w:type="dxa"/>
            <w:vAlign w:val="center"/>
          </w:tcPr>
          <w:p w14:paraId="5BB0465D">
            <w:pPr>
              <w:jc w:val="center"/>
              <w:rPr>
                <w:rFonts w:ascii="仿宋" w:hAnsi="仿宋" w:eastAsia="仿宋"/>
                <w:b/>
                <w:szCs w:val="21"/>
              </w:rPr>
            </w:pPr>
            <w:r>
              <w:rPr>
                <w:rFonts w:hint="eastAsia" w:ascii="仿宋" w:hAnsi="仿宋" w:eastAsia="仿宋"/>
                <w:b/>
                <w:szCs w:val="21"/>
              </w:rPr>
              <w:t>标准</w:t>
            </w:r>
          </w:p>
          <w:p w14:paraId="501A7862">
            <w:pPr>
              <w:jc w:val="center"/>
              <w:rPr>
                <w:rFonts w:ascii="仿宋" w:hAnsi="仿宋" w:eastAsia="仿宋"/>
                <w:b/>
                <w:szCs w:val="21"/>
              </w:rPr>
            </w:pPr>
            <w:r>
              <w:rPr>
                <w:rFonts w:hint="eastAsia" w:ascii="仿宋" w:hAnsi="仿宋" w:eastAsia="仿宋"/>
                <w:b/>
                <w:szCs w:val="21"/>
              </w:rPr>
              <w:t>章条号</w:t>
            </w:r>
          </w:p>
        </w:tc>
        <w:tc>
          <w:tcPr>
            <w:tcW w:w="3119" w:type="dxa"/>
            <w:vAlign w:val="center"/>
          </w:tcPr>
          <w:p w14:paraId="338A015F">
            <w:pPr>
              <w:jc w:val="center"/>
              <w:rPr>
                <w:rFonts w:ascii="仿宋" w:hAnsi="仿宋" w:eastAsia="仿宋"/>
                <w:b/>
                <w:szCs w:val="21"/>
              </w:rPr>
            </w:pPr>
            <w:r>
              <w:rPr>
                <w:rFonts w:hint="eastAsia" w:ascii="仿宋" w:hAnsi="仿宋" w:eastAsia="仿宋"/>
                <w:b/>
                <w:szCs w:val="21"/>
              </w:rPr>
              <w:t>意见内容</w:t>
            </w:r>
          </w:p>
        </w:tc>
        <w:tc>
          <w:tcPr>
            <w:tcW w:w="1701" w:type="dxa"/>
            <w:vAlign w:val="center"/>
          </w:tcPr>
          <w:p w14:paraId="0383EC6A">
            <w:pPr>
              <w:jc w:val="center"/>
              <w:rPr>
                <w:rFonts w:ascii="仿宋" w:hAnsi="仿宋" w:eastAsia="仿宋"/>
                <w:b/>
                <w:szCs w:val="21"/>
              </w:rPr>
            </w:pPr>
            <w:r>
              <w:rPr>
                <w:rFonts w:hint="eastAsia" w:ascii="仿宋" w:hAnsi="仿宋" w:eastAsia="仿宋"/>
                <w:b/>
                <w:szCs w:val="21"/>
              </w:rPr>
              <w:t>提出单位</w:t>
            </w:r>
          </w:p>
        </w:tc>
        <w:tc>
          <w:tcPr>
            <w:tcW w:w="1735" w:type="dxa"/>
            <w:vAlign w:val="center"/>
          </w:tcPr>
          <w:p w14:paraId="7365BD2D">
            <w:pPr>
              <w:jc w:val="center"/>
              <w:rPr>
                <w:rFonts w:ascii="仿宋" w:hAnsi="仿宋" w:eastAsia="仿宋"/>
                <w:b/>
                <w:szCs w:val="21"/>
              </w:rPr>
            </w:pPr>
            <w:r>
              <w:rPr>
                <w:rFonts w:hint="eastAsia" w:ascii="仿宋" w:hAnsi="仿宋" w:eastAsia="仿宋"/>
                <w:b/>
                <w:szCs w:val="21"/>
              </w:rPr>
              <w:t>处理意见</w:t>
            </w:r>
          </w:p>
        </w:tc>
      </w:tr>
      <w:tr w14:paraId="317BB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blHeader/>
          <w:jc w:val="center"/>
        </w:trPr>
        <w:tc>
          <w:tcPr>
            <w:tcW w:w="709" w:type="dxa"/>
            <w:vAlign w:val="center"/>
          </w:tcPr>
          <w:p w14:paraId="14B720F6">
            <w:pPr>
              <w:jc w:val="center"/>
              <w:rPr>
                <w:rFonts w:ascii="仿宋" w:hAnsi="仿宋" w:eastAsia="仿宋"/>
                <w:szCs w:val="21"/>
              </w:rPr>
            </w:pPr>
            <w:r>
              <w:rPr>
                <w:rFonts w:ascii="仿宋" w:hAnsi="仿宋" w:eastAsia="仿宋"/>
                <w:szCs w:val="21"/>
              </w:rPr>
              <w:t>1</w:t>
            </w:r>
          </w:p>
        </w:tc>
        <w:tc>
          <w:tcPr>
            <w:tcW w:w="850" w:type="dxa"/>
            <w:vAlign w:val="center"/>
          </w:tcPr>
          <w:p w14:paraId="1D0AEAA6">
            <w:pPr>
              <w:jc w:val="center"/>
              <w:rPr>
                <w:rFonts w:ascii="仿宋" w:hAnsi="仿宋" w:eastAsia="仿宋"/>
                <w:szCs w:val="21"/>
              </w:rPr>
            </w:pPr>
          </w:p>
        </w:tc>
        <w:tc>
          <w:tcPr>
            <w:tcW w:w="3119" w:type="dxa"/>
            <w:vAlign w:val="center"/>
          </w:tcPr>
          <w:p w14:paraId="193DDBE9">
            <w:pPr>
              <w:rPr>
                <w:rFonts w:ascii="仿宋" w:hAnsi="仿宋" w:eastAsia="仿宋"/>
                <w:szCs w:val="21"/>
              </w:rPr>
            </w:pPr>
          </w:p>
        </w:tc>
        <w:tc>
          <w:tcPr>
            <w:tcW w:w="1701" w:type="dxa"/>
            <w:vAlign w:val="center"/>
          </w:tcPr>
          <w:p w14:paraId="3B6A9129">
            <w:pPr>
              <w:jc w:val="left"/>
              <w:rPr>
                <w:rFonts w:ascii="仿宋" w:hAnsi="仿宋" w:eastAsia="仿宋"/>
                <w:szCs w:val="21"/>
              </w:rPr>
            </w:pPr>
          </w:p>
        </w:tc>
        <w:tc>
          <w:tcPr>
            <w:tcW w:w="1735" w:type="dxa"/>
            <w:vAlign w:val="center"/>
          </w:tcPr>
          <w:p w14:paraId="68AACFA1">
            <w:pPr>
              <w:jc w:val="center"/>
              <w:rPr>
                <w:rFonts w:ascii="仿宋" w:hAnsi="仿宋" w:eastAsia="仿宋"/>
                <w:szCs w:val="21"/>
              </w:rPr>
            </w:pPr>
          </w:p>
        </w:tc>
      </w:tr>
      <w:tr w14:paraId="6E879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blHeader/>
          <w:jc w:val="center"/>
        </w:trPr>
        <w:tc>
          <w:tcPr>
            <w:tcW w:w="709" w:type="dxa"/>
            <w:vAlign w:val="center"/>
          </w:tcPr>
          <w:p w14:paraId="345D20A4">
            <w:pPr>
              <w:jc w:val="center"/>
              <w:rPr>
                <w:rFonts w:ascii="仿宋" w:hAnsi="仿宋" w:eastAsia="仿宋"/>
                <w:szCs w:val="21"/>
              </w:rPr>
            </w:pPr>
            <w:r>
              <w:rPr>
                <w:rFonts w:hint="eastAsia" w:ascii="仿宋" w:hAnsi="仿宋" w:eastAsia="仿宋"/>
                <w:szCs w:val="21"/>
              </w:rPr>
              <w:t>2</w:t>
            </w:r>
          </w:p>
        </w:tc>
        <w:tc>
          <w:tcPr>
            <w:tcW w:w="850" w:type="dxa"/>
            <w:vAlign w:val="center"/>
          </w:tcPr>
          <w:p w14:paraId="3D7A2A13">
            <w:pPr>
              <w:jc w:val="center"/>
              <w:rPr>
                <w:rFonts w:ascii="仿宋" w:hAnsi="仿宋" w:eastAsia="仿宋"/>
                <w:szCs w:val="21"/>
              </w:rPr>
            </w:pPr>
          </w:p>
        </w:tc>
        <w:tc>
          <w:tcPr>
            <w:tcW w:w="3119" w:type="dxa"/>
            <w:vAlign w:val="center"/>
          </w:tcPr>
          <w:p w14:paraId="69068FF0">
            <w:pPr>
              <w:rPr>
                <w:rFonts w:ascii="仿宋" w:hAnsi="仿宋" w:eastAsia="仿宋"/>
                <w:szCs w:val="21"/>
              </w:rPr>
            </w:pPr>
          </w:p>
        </w:tc>
        <w:tc>
          <w:tcPr>
            <w:tcW w:w="1701" w:type="dxa"/>
            <w:vAlign w:val="center"/>
          </w:tcPr>
          <w:p w14:paraId="41C1D859">
            <w:pPr>
              <w:jc w:val="left"/>
              <w:rPr>
                <w:rFonts w:ascii="仿宋" w:hAnsi="仿宋" w:eastAsia="仿宋"/>
                <w:szCs w:val="21"/>
              </w:rPr>
            </w:pPr>
          </w:p>
        </w:tc>
        <w:tc>
          <w:tcPr>
            <w:tcW w:w="1735" w:type="dxa"/>
            <w:vAlign w:val="center"/>
          </w:tcPr>
          <w:p w14:paraId="643DCF66">
            <w:pPr>
              <w:jc w:val="center"/>
              <w:rPr>
                <w:rFonts w:ascii="仿宋" w:hAnsi="仿宋" w:eastAsia="仿宋"/>
                <w:color w:val="FF0000"/>
                <w:szCs w:val="21"/>
              </w:rPr>
            </w:pPr>
          </w:p>
        </w:tc>
      </w:tr>
      <w:tr w14:paraId="0740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blHeader/>
          <w:jc w:val="center"/>
        </w:trPr>
        <w:tc>
          <w:tcPr>
            <w:tcW w:w="709" w:type="dxa"/>
            <w:vAlign w:val="center"/>
          </w:tcPr>
          <w:p w14:paraId="690DB377">
            <w:pPr>
              <w:jc w:val="center"/>
              <w:rPr>
                <w:rFonts w:ascii="仿宋" w:hAnsi="仿宋" w:eastAsia="仿宋"/>
                <w:b/>
                <w:szCs w:val="21"/>
              </w:rPr>
            </w:pPr>
            <w:r>
              <w:rPr>
                <w:rFonts w:hint="eastAsia" w:ascii="仿宋" w:hAnsi="仿宋" w:eastAsia="仿宋"/>
                <w:szCs w:val="21"/>
              </w:rPr>
              <w:t>3</w:t>
            </w:r>
          </w:p>
        </w:tc>
        <w:tc>
          <w:tcPr>
            <w:tcW w:w="850" w:type="dxa"/>
            <w:vAlign w:val="center"/>
          </w:tcPr>
          <w:p w14:paraId="3844E0C9">
            <w:pPr>
              <w:jc w:val="center"/>
              <w:rPr>
                <w:rFonts w:ascii="仿宋" w:hAnsi="仿宋" w:eastAsia="仿宋"/>
                <w:szCs w:val="21"/>
              </w:rPr>
            </w:pPr>
          </w:p>
        </w:tc>
        <w:tc>
          <w:tcPr>
            <w:tcW w:w="3119" w:type="dxa"/>
            <w:vAlign w:val="center"/>
          </w:tcPr>
          <w:p w14:paraId="0FDE9DE5">
            <w:pPr>
              <w:rPr>
                <w:rFonts w:ascii="仿宋" w:hAnsi="仿宋" w:eastAsia="仿宋"/>
                <w:szCs w:val="21"/>
              </w:rPr>
            </w:pPr>
          </w:p>
        </w:tc>
        <w:tc>
          <w:tcPr>
            <w:tcW w:w="1701" w:type="dxa"/>
            <w:vAlign w:val="center"/>
          </w:tcPr>
          <w:p w14:paraId="42BBC365">
            <w:pPr>
              <w:jc w:val="left"/>
              <w:rPr>
                <w:rFonts w:ascii="仿宋" w:hAnsi="仿宋" w:eastAsia="仿宋"/>
                <w:szCs w:val="21"/>
              </w:rPr>
            </w:pPr>
          </w:p>
        </w:tc>
        <w:tc>
          <w:tcPr>
            <w:tcW w:w="1735" w:type="dxa"/>
            <w:vAlign w:val="center"/>
          </w:tcPr>
          <w:p w14:paraId="7CC873CB">
            <w:pPr>
              <w:rPr>
                <w:rFonts w:ascii="仿宋" w:hAnsi="仿宋" w:eastAsia="仿宋"/>
                <w:szCs w:val="21"/>
              </w:rPr>
            </w:pPr>
          </w:p>
        </w:tc>
      </w:tr>
      <w:tr w14:paraId="6D37D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blHeader/>
          <w:jc w:val="center"/>
        </w:trPr>
        <w:tc>
          <w:tcPr>
            <w:tcW w:w="709" w:type="dxa"/>
            <w:vAlign w:val="center"/>
          </w:tcPr>
          <w:p w14:paraId="12B69E8D">
            <w:pPr>
              <w:jc w:val="center"/>
              <w:rPr>
                <w:rFonts w:ascii="仿宋" w:hAnsi="仿宋" w:eastAsia="仿宋"/>
                <w:szCs w:val="21"/>
              </w:rPr>
            </w:pPr>
            <w:r>
              <w:rPr>
                <w:rFonts w:hint="eastAsia" w:ascii="仿宋" w:hAnsi="仿宋" w:eastAsia="仿宋"/>
                <w:szCs w:val="21"/>
              </w:rPr>
              <w:t>4</w:t>
            </w:r>
          </w:p>
        </w:tc>
        <w:tc>
          <w:tcPr>
            <w:tcW w:w="850" w:type="dxa"/>
            <w:vAlign w:val="center"/>
          </w:tcPr>
          <w:p w14:paraId="65851522">
            <w:pPr>
              <w:jc w:val="center"/>
              <w:rPr>
                <w:rFonts w:ascii="仿宋" w:hAnsi="仿宋" w:eastAsia="仿宋"/>
                <w:szCs w:val="21"/>
              </w:rPr>
            </w:pPr>
          </w:p>
        </w:tc>
        <w:tc>
          <w:tcPr>
            <w:tcW w:w="3119" w:type="dxa"/>
            <w:vAlign w:val="center"/>
          </w:tcPr>
          <w:p w14:paraId="09AC820B">
            <w:pPr>
              <w:rPr>
                <w:rFonts w:ascii="仿宋" w:hAnsi="仿宋" w:eastAsia="仿宋"/>
                <w:szCs w:val="21"/>
              </w:rPr>
            </w:pPr>
          </w:p>
        </w:tc>
        <w:tc>
          <w:tcPr>
            <w:tcW w:w="1701" w:type="dxa"/>
            <w:vAlign w:val="center"/>
          </w:tcPr>
          <w:p w14:paraId="6E7761F9">
            <w:pPr>
              <w:jc w:val="left"/>
              <w:rPr>
                <w:rFonts w:ascii="仿宋" w:hAnsi="仿宋" w:eastAsia="仿宋"/>
                <w:szCs w:val="21"/>
              </w:rPr>
            </w:pPr>
          </w:p>
        </w:tc>
        <w:tc>
          <w:tcPr>
            <w:tcW w:w="1735" w:type="dxa"/>
            <w:vAlign w:val="center"/>
          </w:tcPr>
          <w:p w14:paraId="1E878B72">
            <w:pPr>
              <w:jc w:val="center"/>
              <w:rPr>
                <w:rFonts w:ascii="仿宋" w:hAnsi="仿宋" w:eastAsia="仿宋"/>
                <w:szCs w:val="21"/>
              </w:rPr>
            </w:pPr>
          </w:p>
        </w:tc>
      </w:tr>
      <w:tr w14:paraId="73F7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blHeader/>
          <w:jc w:val="center"/>
        </w:trPr>
        <w:tc>
          <w:tcPr>
            <w:tcW w:w="709" w:type="dxa"/>
            <w:vAlign w:val="center"/>
          </w:tcPr>
          <w:p w14:paraId="55D455FC">
            <w:pPr>
              <w:jc w:val="center"/>
              <w:rPr>
                <w:rFonts w:ascii="仿宋" w:hAnsi="仿宋" w:eastAsia="仿宋"/>
                <w:szCs w:val="21"/>
              </w:rPr>
            </w:pPr>
            <w:r>
              <w:rPr>
                <w:rFonts w:hint="eastAsia" w:ascii="仿宋" w:hAnsi="仿宋" w:eastAsia="仿宋"/>
                <w:szCs w:val="21"/>
              </w:rPr>
              <w:t>5</w:t>
            </w:r>
          </w:p>
        </w:tc>
        <w:tc>
          <w:tcPr>
            <w:tcW w:w="850" w:type="dxa"/>
            <w:vAlign w:val="center"/>
          </w:tcPr>
          <w:p w14:paraId="70B38567">
            <w:pPr>
              <w:jc w:val="center"/>
              <w:rPr>
                <w:rFonts w:ascii="仿宋" w:hAnsi="仿宋" w:eastAsia="仿宋"/>
                <w:szCs w:val="21"/>
              </w:rPr>
            </w:pPr>
          </w:p>
        </w:tc>
        <w:tc>
          <w:tcPr>
            <w:tcW w:w="3119" w:type="dxa"/>
            <w:vAlign w:val="center"/>
          </w:tcPr>
          <w:p w14:paraId="0B0B5B41">
            <w:pPr>
              <w:rPr>
                <w:rFonts w:ascii="仿宋" w:hAnsi="仿宋" w:eastAsia="仿宋"/>
                <w:szCs w:val="21"/>
              </w:rPr>
            </w:pPr>
          </w:p>
        </w:tc>
        <w:tc>
          <w:tcPr>
            <w:tcW w:w="1701" w:type="dxa"/>
            <w:vAlign w:val="center"/>
          </w:tcPr>
          <w:p w14:paraId="5B15F95D">
            <w:pPr>
              <w:jc w:val="left"/>
              <w:rPr>
                <w:rFonts w:ascii="仿宋" w:hAnsi="仿宋" w:eastAsia="仿宋"/>
                <w:szCs w:val="21"/>
              </w:rPr>
            </w:pPr>
          </w:p>
        </w:tc>
        <w:tc>
          <w:tcPr>
            <w:tcW w:w="1735" w:type="dxa"/>
            <w:vAlign w:val="center"/>
          </w:tcPr>
          <w:p w14:paraId="23164CA8">
            <w:pPr>
              <w:jc w:val="center"/>
              <w:rPr>
                <w:rFonts w:ascii="仿宋" w:hAnsi="仿宋" w:eastAsia="仿宋"/>
                <w:color w:val="FF0000"/>
                <w:szCs w:val="21"/>
              </w:rPr>
            </w:pPr>
          </w:p>
        </w:tc>
      </w:tr>
      <w:tr w14:paraId="06C37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blHeader/>
          <w:jc w:val="center"/>
        </w:trPr>
        <w:tc>
          <w:tcPr>
            <w:tcW w:w="709" w:type="dxa"/>
            <w:vAlign w:val="center"/>
          </w:tcPr>
          <w:p w14:paraId="10349A60">
            <w:pPr>
              <w:jc w:val="center"/>
              <w:rPr>
                <w:rFonts w:ascii="仿宋" w:hAnsi="仿宋" w:eastAsia="仿宋"/>
                <w:szCs w:val="21"/>
              </w:rPr>
            </w:pPr>
            <w:r>
              <w:rPr>
                <w:rFonts w:hint="eastAsia" w:ascii="仿宋" w:hAnsi="仿宋" w:eastAsia="仿宋"/>
                <w:szCs w:val="21"/>
              </w:rPr>
              <w:t>6</w:t>
            </w:r>
          </w:p>
        </w:tc>
        <w:tc>
          <w:tcPr>
            <w:tcW w:w="850" w:type="dxa"/>
            <w:vAlign w:val="center"/>
          </w:tcPr>
          <w:p w14:paraId="4D0574DC">
            <w:pPr>
              <w:jc w:val="center"/>
              <w:rPr>
                <w:rFonts w:ascii="仿宋" w:hAnsi="仿宋" w:eastAsia="仿宋"/>
                <w:szCs w:val="21"/>
              </w:rPr>
            </w:pPr>
          </w:p>
        </w:tc>
        <w:tc>
          <w:tcPr>
            <w:tcW w:w="3119" w:type="dxa"/>
            <w:vAlign w:val="center"/>
          </w:tcPr>
          <w:p w14:paraId="730159DC">
            <w:pPr>
              <w:rPr>
                <w:rFonts w:ascii="仿宋" w:hAnsi="仿宋" w:eastAsia="仿宋"/>
                <w:szCs w:val="21"/>
              </w:rPr>
            </w:pPr>
          </w:p>
        </w:tc>
        <w:tc>
          <w:tcPr>
            <w:tcW w:w="1701" w:type="dxa"/>
            <w:vAlign w:val="center"/>
          </w:tcPr>
          <w:p w14:paraId="38137EF5">
            <w:pPr>
              <w:jc w:val="left"/>
              <w:rPr>
                <w:rFonts w:ascii="仿宋" w:hAnsi="仿宋" w:eastAsia="仿宋"/>
                <w:szCs w:val="21"/>
              </w:rPr>
            </w:pPr>
          </w:p>
        </w:tc>
        <w:tc>
          <w:tcPr>
            <w:tcW w:w="1735" w:type="dxa"/>
            <w:vAlign w:val="center"/>
          </w:tcPr>
          <w:p w14:paraId="04512EF1">
            <w:pPr>
              <w:jc w:val="center"/>
              <w:rPr>
                <w:rFonts w:ascii="仿宋" w:hAnsi="仿宋" w:eastAsia="仿宋"/>
                <w:szCs w:val="21"/>
              </w:rPr>
            </w:pPr>
          </w:p>
        </w:tc>
      </w:tr>
      <w:tr w14:paraId="6C21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blHeader/>
          <w:jc w:val="center"/>
        </w:trPr>
        <w:tc>
          <w:tcPr>
            <w:tcW w:w="709" w:type="dxa"/>
            <w:vAlign w:val="center"/>
          </w:tcPr>
          <w:p w14:paraId="773B60C4">
            <w:pPr>
              <w:jc w:val="center"/>
              <w:rPr>
                <w:rFonts w:ascii="仿宋" w:hAnsi="仿宋" w:eastAsia="仿宋"/>
                <w:szCs w:val="21"/>
              </w:rPr>
            </w:pPr>
            <w:r>
              <w:rPr>
                <w:rFonts w:hint="eastAsia" w:ascii="仿宋" w:hAnsi="仿宋" w:eastAsia="仿宋"/>
                <w:szCs w:val="21"/>
              </w:rPr>
              <w:t>7</w:t>
            </w:r>
          </w:p>
        </w:tc>
        <w:tc>
          <w:tcPr>
            <w:tcW w:w="850" w:type="dxa"/>
            <w:vAlign w:val="center"/>
          </w:tcPr>
          <w:p w14:paraId="47BB427F">
            <w:pPr>
              <w:jc w:val="center"/>
              <w:rPr>
                <w:rFonts w:ascii="仿宋" w:hAnsi="仿宋" w:eastAsia="仿宋"/>
                <w:szCs w:val="21"/>
              </w:rPr>
            </w:pPr>
          </w:p>
        </w:tc>
        <w:tc>
          <w:tcPr>
            <w:tcW w:w="3119" w:type="dxa"/>
            <w:vAlign w:val="center"/>
          </w:tcPr>
          <w:p w14:paraId="59B2A83E">
            <w:pPr>
              <w:rPr>
                <w:rFonts w:ascii="仿宋" w:hAnsi="仿宋" w:eastAsia="仿宋"/>
                <w:szCs w:val="21"/>
              </w:rPr>
            </w:pPr>
          </w:p>
        </w:tc>
        <w:tc>
          <w:tcPr>
            <w:tcW w:w="1701" w:type="dxa"/>
            <w:vAlign w:val="center"/>
          </w:tcPr>
          <w:p w14:paraId="03AC2111">
            <w:pPr>
              <w:jc w:val="left"/>
              <w:rPr>
                <w:rFonts w:ascii="仿宋" w:hAnsi="仿宋" w:eastAsia="仿宋"/>
                <w:szCs w:val="21"/>
              </w:rPr>
            </w:pPr>
          </w:p>
        </w:tc>
        <w:tc>
          <w:tcPr>
            <w:tcW w:w="1735" w:type="dxa"/>
            <w:vAlign w:val="center"/>
          </w:tcPr>
          <w:p w14:paraId="1A4E9CD0">
            <w:pPr>
              <w:jc w:val="center"/>
              <w:rPr>
                <w:rFonts w:ascii="仿宋" w:hAnsi="仿宋" w:eastAsia="仿宋"/>
                <w:szCs w:val="21"/>
              </w:rPr>
            </w:pPr>
          </w:p>
        </w:tc>
      </w:tr>
      <w:tr w14:paraId="6A8B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blHeader/>
          <w:jc w:val="center"/>
        </w:trPr>
        <w:tc>
          <w:tcPr>
            <w:tcW w:w="709" w:type="dxa"/>
            <w:vAlign w:val="center"/>
          </w:tcPr>
          <w:p w14:paraId="585294B3">
            <w:pPr>
              <w:jc w:val="center"/>
              <w:rPr>
                <w:rFonts w:ascii="仿宋" w:hAnsi="仿宋" w:eastAsia="仿宋"/>
                <w:szCs w:val="21"/>
              </w:rPr>
            </w:pPr>
            <w:r>
              <w:rPr>
                <w:rFonts w:hint="eastAsia" w:ascii="仿宋" w:hAnsi="仿宋" w:eastAsia="仿宋"/>
                <w:szCs w:val="21"/>
              </w:rPr>
              <w:t>8</w:t>
            </w:r>
          </w:p>
        </w:tc>
        <w:tc>
          <w:tcPr>
            <w:tcW w:w="850" w:type="dxa"/>
            <w:vAlign w:val="center"/>
          </w:tcPr>
          <w:p w14:paraId="5D4FA486">
            <w:pPr>
              <w:jc w:val="center"/>
              <w:rPr>
                <w:rFonts w:ascii="仿宋" w:hAnsi="仿宋" w:eastAsia="仿宋"/>
                <w:szCs w:val="21"/>
              </w:rPr>
            </w:pPr>
          </w:p>
        </w:tc>
        <w:tc>
          <w:tcPr>
            <w:tcW w:w="3119" w:type="dxa"/>
            <w:vAlign w:val="center"/>
          </w:tcPr>
          <w:p w14:paraId="454D6E68">
            <w:pPr>
              <w:rPr>
                <w:rFonts w:ascii="仿宋" w:hAnsi="仿宋" w:eastAsia="仿宋"/>
                <w:szCs w:val="21"/>
              </w:rPr>
            </w:pPr>
          </w:p>
        </w:tc>
        <w:tc>
          <w:tcPr>
            <w:tcW w:w="1701" w:type="dxa"/>
            <w:vAlign w:val="center"/>
          </w:tcPr>
          <w:p w14:paraId="71712708">
            <w:pPr>
              <w:jc w:val="left"/>
              <w:rPr>
                <w:rFonts w:ascii="仿宋" w:hAnsi="仿宋" w:eastAsia="仿宋"/>
                <w:szCs w:val="21"/>
              </w:rPr>
            </w:pPr>
          </w:p>
        </w:tc>
        <w:tc>
          <w:tcPr>
            <w:tcW w:w="1735" w:type="dxa"/>
            <w:vAlign w:val="center"/>
          </w:tcPr>
          <w:p w14:paraId="55368BA5">
            <w:pPr>
              <w:jc w:val="center"/>
              <w:rPr>
                <w:rFonts w:ascii="仿宋" w:hAnsi="仿宋" w:eastAsia="仿宋"/>
                <w:color w:val="FF0000"/>
                <w:szCs w:val="21"/>
              </w:rPr>
            </w:pPr>
          </w:p>
        </w:tc>
      </w:tr>
      <w:tr w14:paraId="3526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blHeader/>
          <w:jc w:val="center"/>
        </w:trPr>
        <w:tc>
          <w:tcPr>
            <w:tcW w:w="709" w:type="dxa"/>
            <w:vAlign w:val="center"/>
          </w:tcPr>
          <w:p w14:paraId="56095863">
            <w:pPr>
              <w:jc w:val="center"/>
              <w:rPr>
                <w:rFonts w:ascii="仿宋" w:hAnsi="仿宋" w:eastAsia="仿宋"/>
                <w:szCs w:val="21"/>
              </w:rPr>
            </w:pPr>
            <w:r>
              <w:rPr>
                <w:rFonts w:hint="eastAsia" w:ascii="仿宋" w:hAnsi="仿宋" w:eastAsia="仿宋"/>
                <w:szCs w:val="21"/>
              </w:rPr>
              <w:t>9</w:t>
            </w:r>
          </w:p>
        </w:tc>
        <w:tc>
          <w:tcPr>
            <w:tcW w:w="850" w:type="dxa"/>
            <w:vAlign w:val="center"/>
          </w:tcPr>
          <w:p w14:paraId="034FAFB6">
            <w:pPr>
              <w:jc w:val="center"/>
              <w:rPr>
                <w:rFonts w:ascii="仿宋" w:hAnsi="仿宋" w:eastAsia="仿宋"/>
                <w:szCs w:val="21"/>
              </w:rPr>
            </w:pPr>
          </w:p>
        </w:tc>
        <w:tc>
          <w:tcPr>
            <w:tcW w:w="3119" w:type="dxa"/>
            <w:vAlign w:val="center"/>
          </w:tcPr>
          <w:p w14:paraId="7351CB3A">
            <w:pPr>
              <w:rPr>
                <w:rFonts w:ascii="仿宋" w:hAnsi="仿宋" w:eastAsia="仿宋"/>
                <w:szCs w:val="21"/>
              </w:rPr>
            </w:pPr>
          </w:p>
        </w:tc>
        <w:tc>
          <w:tcPr>
            <w:tcW w:w="1701" w:type="dxa"/>
            <w:vAlign w:val="center"/>
          </w:tcPr>
          <w:p w14:paraId="0D0B0A92">
            <w:pPr>
              <w:jc w:val="left"/>
              <w:rPr>
                <w:rFonts w:ascii="仿宋" w:hAnsi="仿宋" w:eastAsia="仿宋"/>
                <w:szCs w:val="21"/>
              </w:rPr>
            </w:pPr>
          </w:p>
        </w:tc>
        <w:tc>
          <w:tcPr>
            <w:tcW w:w="1735" w:type="dxa"/>
            <w:vAlign w:val="center"/>
          </w:tcPr>
          <w:p w14:paraId="6C7093D1">
            <w:pPr>
              <w:jc w:val="center"/>
              <w:rPr>
                <w:rFonts w:ascii="仿宋" w:hAnsi="仿宋" w:eastAsia="仿宋"/>
                <w:szCs w:val="21"/>
              </w:rPr>
            </w:pPr>
          </w:p>
        </w:tc>
      </w:tr>
      <w:tr w14:paraId="20EC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blHeader/>
          <w:jc w:val="center"/>
        </w:trPr>
        <w:tc>
          <w:tcPr>
            <w:tcW w:w="709" w:type="dxa"/>
            <w:vAlign w:val="center"/>
          </w:tcPr>
          <w:p w14:paraId="35EAF91F">
            <w:pPr>
              <w:jc w:val="center"/>
              <w:rPr>
                <w:rFonts w:ascii="仿宋" w:hAnsi="仿宋" w:eastAsia="仿宋"/>
                <w:szCs w:val="21"/>
              </w:rPr>
            </w:pPr>
            <w:r>
              <w:rPr>
                <w:rFonts w:hint="eastAsia" w:ascii="仿宋" w:hAnsi="仿宋" w:eastAsia="仿宋"/>
                <w:szCs w:val="21"/>
              </w:rPr>
              <w:t>10</w:t>
            </w:r>
          </w:p>
        </w:tc>
        <w:tc>
          <w:tcPr>
            <w:tcW w:w="850" w:type="dxa"/>
            <w:vAlign w:val="center"/>
          </w:tcPr>
          <w:p w14:paraId="3788D10B">
            <w:pPr>
              <w:jc w:val="center"/>
              <w:rPr>
                <w:rFonts w:ascii="仿宋" w:hAnsi="仿宋" w:eastAsia="仿宋"/>
                <w:szCs w:val="21"/>
              </w:rPr>
            </w:pPr>
          </w:p>
        </w:tc>
        <w:tc>
          <w:tcPr>
            <w:tcW w:w="3119" w:type="dxa"/>
            <w:vAlign w:val="center"/>
          </w:tcPr>
          <w:p w14:paraId="33E8B946">
            <w:pPr>
              <w:rPr>
                <w:rFonts w:ascii="仿宋" w:hAnsi="仿宋" w:eastAsia="仿宋"/>
                <w:szCs w:val="21"/>
              </w:rPr>
            </w:pPr>
          </w:p>
        </w:tc>
        <w:tc>
          <w:tcPr>
            <w:tcW w:w="1701" w:type="dxa"/>
            <w:vAlign w:val="center"/>
          </w:tcPr>
          <w:p w14:paraId="32371F01">
            <w:pPr>
              <w:jc w:val="left"/>
              <w:rPr>
                <w:rFonts w:ascii="仿宋" w:hAnsi="仿宋" w:eastAsia="仿宋"/>
                <w:szCs w:val="21"/>
              </w:rPr>
            </w:pPr>
          </w:p>
        </w:tc>
        <w:tc>
          <w:tcPr>
            <w:tcW w:w="1735" w:type="dxa"/>
            <w:vAlign w:val="center"/>
          </w:tcPr>
          <w:p w14:paraId="21BD9CED">
            <w:pPr>
              <w:jc w:val="center"/>
              <w:rPr>
                <w:rFonts w:ascii="仿宋" w:hAnsi="仿宋" w:eastAsia="仿宋"/>
                <w:szCs w:val="21"/>
              </w:rPr>
            </w:pPr>
          </w:p>
        </w:tc>
      </w:tr>
      <w:tr w14:paraId="5F6AF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blHeader/>
          <w:jc w:val="center"/>
        </w:trPr>
        <w:tc>
          <w:tcPr>
            <w:tcW w:w="709" w:type="dxa"/>
            <w:vAlign w:val="center"/>
          </w:tcPr>
          <w:p w14:paraId="41168743">
            <w:pPr>
              <w:jc w:val="center"/>
              <w:rPr>
                <w:rFonts w:ascii="仿宋" w:hAnsi="仿宋" w:eastAsia="仿宋"/>
                <w:szCs w:val="21"/>
              </w:rPr>
            </w:pPr>
            <w:r>
              <w:rPr>
                <w:rFonts w:hint="eastAsia" w:ascii="仿宋" w:hAnsi="仿宋" w:eastAsia="仿宋"/>
                <w:szCs w:val="21"/>
              </w:rPr>
              <w:t>11</w:t>
            </w:r>
          </w:p>
        </w:tc>
        <w:tc>
          <w:tcPr>
            <w:tcW w:w="850" w:type="dxa"/>
            <w:vAlign w:val="center"/>
          </w:tcPr>
          <w:p w14:paraId="4E54DF87">
            <w:pPr>
              <w:jc w:val="center"/>
              <w:rPr>
                <w:rFonts w:ascii="仿宋" w:hAnsi="仿宋" w:eastAsia="仿宋"/>
                <w:szCs w:val="21"/>
              </w:rPr>
            </w:pPr>
          </w:p>
        </w:tc>
        <w:tc>
          <w:tcPr>
            <w:tcW w:w="3119" w:type="dxa"/>
            <w:vAlign w:val="center"/>
          </w:tcPr>
          <w:p w14:paraId="5B484912">
            <w:pPr>
              <w:rPr>
                <w:rFonts w:ascii="仿宋" w:hAnsi="仿宋" w:eastAsia="仿宋"/>
                <w:szCs w:val="21"/>
              </w:rPr>
            </w:pPr>
          </w:p>
        </w:tc>
        <w:tc>
          <w:tcPr>
            <w:tcW w:w="1701" w:type="dxa"/>
            <w:vAlign w:val="center"/>
          </w:tcPr>
          <w:p w14:paraId="19701521">
            <w:pPr>
              <w:jc w:val="left"/>
              <w:rPr>
                <w:rFonts w:ascii="仿宋" w:hAnsi="仿宋" w:eastAsia="仿宋"/>
                <w:spacing w:val="-8"/>
                <w:szCs w:val="21"/>
              </w:rPr>
            </w:pPr>
          </w:p>
        </w:tc>
        <w:tc>
          <w:tcPr>
            <w:tcW w:w="1735" w:type="dxa"/>
            <w:vAlign w:val="center"/>
          </w:tcPr>
          <w:p w14:paraId="645F52EE">
            <w:pPr>
              <w:rPr>
                <w:rFonts w:ascii="仿宋" w:hAnsi="仿宋" w:eastAsia="仿宋"/>
                <w:szCs w:val="21"/>
              </w:rPr>
            </w:pPr>
          </w:p>
        </w:tc>
      </w:tr>
      <w:tr w14:paraId="67E0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blHeader/>
          <w:jc w:val="center"/>
        </w:trPr>
        <w:tc>
          <w:tcPr>
            <w:tcW w:w="709" w:type="dxa"/>
            <w:vAlign w:val="center"/>
          </w:tcPr>
          <w:p w14:paraId="3EE4B946">
            <w:pPr>
              <w:jc w:val="center"/>
              <w:rPr>
                <w:rFonts w:ascii="仿宋" w:hAnsi="仿宋" w:eastAsia="仿宋"/>
                <w:szCs w:val="21"/>
              </w:rPr>
            </w:pPr>
            <w:r>
              <w:rPr>
                <w:rFonts w:hint="eastAsia" w:ascii="仿宋" w:hAnsi="仿宋" w:eastAsia="仿宋"/>
                <w:szCs w:val="21"/>
              </w:rPr>
              <w:t>12</w:t>
            </w:r>
          </w:p>
        </w:tc>
        <w:tc>
          <w:tcPr>
            <w:tcW w:w="850" w:type="dxa"/>
            <w:vAlign w:val="center"/>
          </w:tcPr>
          <w:p w14:paraId="6121336A">
            <w:pPr>
              <w:jc w:val="center"/>
              <w:rPr>
                <w:rFonts w:ascii="仿宋" w:hAnsi="仿宋" w:eastAsia="仿宋"/>
                <w:szCs w:val="21"/>
              </w:rPr>
            </w:pPr>
          </w:p>
        </w:tc>
        <w:tc>
          <w:tcPr>
            <w:tcW w:w="3119" w:type="dxa"/>
            <w:vAlign w:val="center"/>
          </w:tcPr>
          <w:p w14:paraId="7AAD1389">
            <w:pPr>
              <w:rPr>
                <w:rFonts w:ascii="仿宋" w:hAnsi="仿宋" w:eastAsia="仿宋"/>
                <w:szCs w:val="21"/>
              </w:rPr>
            </w:pPr>
          </w:p>
        </w:tc>
        <w:tc>
          <w:tcPr>
            <w:tcW w:w="1701" w:type="dxa"/>
            <w:vAlign w:val="center"/>
          </w:tcPr>
          <w:p w14:paraId="1096C66D">
            <w:pPr>
              <w:jc w:val="left"/>
              <w:rPr>
                <w:rFonts w:ascii="仿宋" w:hAnsi="仿宋" w:eastAsia="仿宋"/>
                <w:szCs w:val="21"/>
              </w:rPr>
            </w:pPr>
          </w:p>
        </w:tc>
        <w:tc>
          <w:tcPr>
            <w:tcW w:w="1735" w:type="dxa"/>
            <w:vAlign w:val="center"/>
          </w:tcPr>
          <w:p w14:paraId="7395DFC6">
            <w:pPr>
              <w:rPr>
                <w:rFonts w:ascii="仿宋" w:hAnsi="仿宋" w:eastAsia="仿宋"/>
                <w:szCs w:val="21"/>
              </w:rPr>
            </w:pPr>
          </w:p>
        </w:tc>
      </w:tr>
      <w:tr w14:paraId="27058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blHeader/>
          <w:jc w:val="center"/>
        </w:trPr>
        <w:tc>
          <w:tcPr>
            <w:tcW w:w="709" w:type="dxa"/>
            <w:vAlign w:val="center"/>
          </w:tcPr>
          <w:p w14:paraId="4A8DFD1F">
            <w:pPr>
              <w:jc w:val="center"/>
              <w:rPr>
                <w:rFonts w:ascii="仿宋" w:hAnsi="仿宋" w:eastAsia="仿宋"/>
                <w:szCs w:val="21"/>
              </w:rPr>
            </w:pPr>
            <w:r>
              <w:rPr>
                <w:rFonts w:hint="eastAsia" w:ascii="仿宋" w:hAnsi="仿宋" w:eastAsia="仿宋"/>
                <w:szCs w:val="21"/>
              </w:rPr>
              <w:t>13</w:t>
            </w:r>
          </w:p>
        </w:tc>
        <w:tc>
          <w:tcPr>
            <w:tcW w:w="850" w:type="dxa"/>
            <w:vAlign w:val="center"/>
          </w:tcPr>
          <w:p w14:paraId="0FB486CB">
            <w:pPr>
              <w:jc w:val="center"/>
              <w:rPr>
                <w:rFonts w:ascii="仿宋" w:hAnsi="仿宋" w:eastAsia="仿宋"/>
                <w:b/>
                <w:szCs w:val="21"/>
              </w:rPr>
            </w:pPr>
          </w:p>
        </w:tc>
        <w:tc>
          <w:tcPr>
            <w:tcW w:w="3119" w:type="dxa"/>
            <w:vAlign w:val="center"/>
          </w:tcPr>
          <w:p w14:paraId="28C7E33F">
            <w:pPr>
              <w:rPr>
                <w:rFonts w:ascii="仿宋" w:hAnsi="仿宋" w:eastAsia="仿宋"/>
                <w:szCs w:val="21"/>
              </w:rPr>
            </w:pPr>
          </w:p>
        </w:tc>
        <w:tc>
          <w:tcPr>
            <w:tcW w:w="1701" w:type="dxa"/>
            <w:vAlign w:val="center"/>
          </w:tcPr>
          <w:p w14:paraId="7C264F9A">
            <w:pPr>
              <w:jc w:val="left"/>
              <w:rPr>
                <w:rFonts w:ascii="仿宋" w:hAnsi="仿宋" w:eastAsia="仿宋"/>
                <w:szCs w:val="21"/>
              </w:rPr>
            </w:pPr>
          </w:p>
        </w:tc>
        <w:tc>
          <w:tcPr>
            <w:tcW w:w="1735" w:type="dxa"/>
            <w:vAlign w:val="center"/>
          </w:tcPr>
          <w:p w14:paraId="6A5EE2FD">
            <w:pPr>
              <w:jc w:val="center"/>
              <w:rPr>
                <w:rFonts w:ascii="仿宋" w:hAnsi="仿宋" w:eastAsia="仿宋"/>
                <w:b/>
                <w:szCs w:val="21"/>
              </w:rPr>
            </w:pPr>
          </w:p>
        </w:tc>
      </w:tr>
      <w:tr w14:paraId="193EC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blHeader/>
          <w:jc w:val="center"/>
        </w:trPr>
        <w:tc>
          <w:tcPr>
            <w:tcW w:w="709" w:type="dxa"/>
            <w:vAlign w:val="center"/>
          </w:tcPr>
          <w:p w14:paraId="3CA658E0">
            <w:pPr>
              <w:jc w:val="center"/>
              <w:rPr>
                <w:rFonts w:ascii="仿宋" w:hAnsi="仿宋" w:eastAsia="仿宋"/>
                <w:szCs w:val="21"/>
              </w:rPr>
            </w:pPr>
            <w:r>
              <w:rPr>
                <w:rFonts w:hint="eastAsia" w:ascii="仿宋" w:hAnsi="仿宋" w:eastAsia="仿宋"/>
                <w:szCs w:val="21"/>
              </w:rPr>
              <w:t>14</w:t>
            </w:r>
          </w:p>
        </w:tc>
        <w:tc>
          <w:tcPr>
            <w:tcW w:w="850" w:type="dxa"/>
            <w:vAlign w:val="center"/>
          </w:tcPr>
          <w:p w14:paraId="0745D613">
            <w:pPr>
              <w:jc w:val="center"/>
              <w:rPr>
                <w:rFonts w:ascii="仿宋" w:hAnsi="仿宋" w:eastAsia="仿宋"/>
                <w:szCs w:val="21"/>
              </w:rPr>
            </w:pPr>
          </w:p>
        </w:tc>
        <w:tc>
          <w:tcPr>
            <w:tcW w:w="3119" w:type="dxa"/>
            <w:vAlign w:val="center"/>
          </w:tcPr>
          <w:p w14:paraId="0DE25DD2">
            <w:pPr>
              <w:rPr>
                <w:rFonts w:ascii="仿宋" w:hAnsi="仿宋" w:eastAsia="仿宋"/>
                <w:szCs w:val="21"/>
              </w:rPr>
            </w:pPr>
          </w:p>
        </w:tc>
        <w:tc>
          <w:tcPr>
            <w:tcW w:w="1701" w:type="dxa"/>
            <w:vAlign w:val="center"/>
          </w:tcPr>
          <w:p w14:paraId="64463DF7">
            <w:pPr>
              <w:jc w:val="left"/>
              <w:rPr>
                <w:rFonts w:ascii="仿宋" w:hAnsi="仿宋" w:eastAsia="仿宋"/>
                <w:szCs w:val="21"/>
              </w:rPr>
            </w:pPr>
          </w:p>
        </w:tc>
        <w:tc>
          <w:tcPr>
            <w:tcW w:w="1735" w:type="dxa"/>
            <w:vAlign w:val="center"/>
          </w:tcPr>
          <w:p w14:paraId="7096B504">
            <w:pPr>
              <w:rPr>
                <w:rFonts w:ascii="仿宋" w:hAnsi="仿宋" w:eastAsia="仿宋"/>
                <w:szCs w:val="21"/>
              </w:rPr>
            </w:pPr>
          </w:p>
        </w:tc>
      </w:tr>
      <w:tr w14:paraId="33E0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blHeader/>
          <w:jc w:val="center"/>
        </w:trPr>
        <w:tc>
          <w:tcPr>
            <w:tcW w:w="709" w:type="dxa"/>
            <w:vAlign w:val="center"/>
          </w:tcPr>
          <w:p w14:paraId="707F43CE">
            <w:pPr>
              <w:jc w:val="center"/>
              <w:rPr>
                <w:rFonts w:ascii="仿宋" w:hAnsi="仿宋" w:eastAsia="仿宋"/>
                <w:szCs w:val="21"/>
              </w:rPr>
            </w:pPr>
            <w:r>
              <w:rPr>
                <w:rFonts w:hint="eastAsia" w:ascii="仿宋" w:hAnsi="仿宋" w:eastAsia="仿宋"/>
                <w:szCs w:val="21"/>
              </w:rPr>
              <w:t>15</w:t>
            </w:r>
          </w:p>
        </w:tc>
        <w:tc>
          <w:tcPr>
            <w:tcW w:w="850" w:type="dxa"/>
            <w:vAlign w:val="center"/>
          </w:tcPr>
          <w:p w14:paraId="7ADED6A0">
            <w:pPr>
              <w:jc w:val="center"/>
              <w:rPr>
                <w:rFonts w:ascii="仿宋" w:hAnsi="仿宋" w:eastAsia="仿宋"/>
                <w:szCs w:val="21"/>
              </w:rPr>
            </w:pPr>
          </w:p>
        </w:tc>
        <w:tc>
          <w:tcPr>
            <w:tcW w:w="3119" w:type="dxa"/>
            <w:vAlign w:val="center"/>
          </w:tcPr>
          <w:p w14:paraId="0588FF6A">
            <w:pPr>
              <w:rPr>
                <w:rFonts w:ascii="仿宋" w:hAnsi="仿宋" w:eastAsia="仿宋"/>
                <w:szCs w:val="21"/>
              </w:rPr>
            </w:pPr>
          </w:p>
        </w:tc>
        <w:tc>
          <w:tcPr>
            <w:tcW w:w="1701" w:type="dxa"/>
            <w:vAlign w:val="center"/>
          </w:tcPr>
          <w:p w14:paraId="72E4AA02">
            <w:pPr>
              <w:jc w:val="left"/>
              <w:rPr>
                <w:rFonts w:ascii="仿宋" w:hAnsi="仿宋" w:eastAsia="仿宋"/>
                <w:szCs w:val="21"/>
              </w:rPr>
            </w:pPr>
          </w:p>
        </w:tc>
        <w:tc>
          <w:tcPr>
            <w:tcW w:w="1735" w:type="dxa"/>
            <w:vAlign w:val="center"/>
          </w:tcPr>
          <w:p w14:paraId="39A427C8">
            <w:pPr>
              <w:rPr>
                <w:rFonts w:ascii="仿宋" w:hAnsi="仿宋" w:eastAsia="仿宋"/>
                <w:szCs w:val="21"/>
              </w:rPr>
            </w:pPr>
          </w:p>
        </w:tc>
      </w:tr>
      <w:tr w14:paraId="3AB3C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blHeader/>
          <w:jc w:val="center"/>
        </w:trPr>
        <w:tc>
          <w:tcPr>
            <w:tcW w:w="709" w:type="dxa"/>
            <w:vAlign w:val="center"/>
          </w:tcPr>
          <w:p w14:paraId="2417AFB4">
            <w:pPr>
              <w:jc w:val="center"/>
              <w:rPr>
                <w:rFonts w:ascii="仿宋" w:hAnsi="仿宋" w:eastAsia="仿宋"/>
                <w:szCs w:val="21"/>
              </w:rPr>
            </w:pPr>
            <w:r>
              <w:rPr>
                <w:rFonts w:hint="eastAsia" w:ascii="仿宋" w:hAnsi="仿宋" w:eastAsia="仿宋"/>
                <w:szCs w:val="21"/>
              </w:rPr>
              <w:t>16</w:t>
            </w:r>
          </w:p>
        </w:tc>
        <w:tc>
          <w:tcPr>
            <w:tcW w:w="850" w:type="dxa"/>
            <w:vAlign w:val="center"/>
          </w:tcPr>
          <w:p w14:paraId="777663DE">
            <w:pPr>
              <w:jc w:val="center"/>
              <w:rPr>
                <w:rFonts w:ascii="仿宋" w:hAnsi="仿宋" w:eastAsia="仿宋"/>
                <w:szCs w:val="21"/>
              </w:rPr>
            </w:pPr>
          </w:p>
        </w:tc>
        <w:tc>
          <w:tcPr>
            <w:tcW w:w="3119" w:type="dxa"/>
            <w:vAlign w:val="center"/>
          </w:tcPr>
          <w:p w14:paraId="5295FECE">
            <w:pPr>
              <w:rPr>
                <w:rFonts w:ascii="仿宋" w:hAnsi="仿宋" w:eastAsia="仿宋"/>
                <w:szCs w:val="21"/>
              </w:rPr>
            </w:pPr>
          </w:p>
        </w:tc>
        <w:tc>
          <w:tcPr>
            <w:tcW w:w="1701" w:type="dxa"/>
            <w:vAlign w:val="center"/>
          </w:tcPr>
          <w:p w14:paraId="45687E1E">
            <w:pPr>
              <w:jc w:val="left"/>
              <w:rPr>
                <w:rFonts w:ascii="仿宋" w:hAnsi="仿宋" w:eastAsia="仿宋"/>
                <w:szCs w:val="21"/>
              </w:rPr>
            </w:pPr>
          </w:p>
        </w:tc>
        <w:tc>
          <w:tcPr>
            <w:tcW w:w="1735" w:type="dxa"/>
            <w:vAlign w:val="center"/>
          </w:tcPr>
          <w:p w14:paraId="0C11F164">
            <w:pPr>
              <w:rPr>
                <w:rFonts w:ascii="仿宋" w:hAnsi="仿宋" w:eastAsia="仿宋"/>
                <w:szCs w:val="21"/>
              </w:rPr>
            </w:pPr>
          </w:p>
        </w:tc>
      </w:tr>
      <w:tr w14:paraId="7CF9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blHeader/>
          <w:jc w:val="center"/>
        </w:trPr>
        <w:tc>
          <w:tcPr>
            <w:tcW w:w="709" w:type="dxa"/>
            <w:vAlign w:val="center"/>
          </w:tcPr>
          <w:p w14:paraId="7861D9EA">
            <w:pPr>
              <w:jc w:val="center"/>
              <w:rPr>
                <w:rFonts w:ascii="仿宋" w:hAnsi="仿宋" w:eastAsia="仿宋"/>
                <w:szCs w:val="21"/>
              </w:rPr>
            </w:pPr>
            <w:r>
              <w:rPr>
                <w:rFonts w:hint="eastAsia" w:ascii="仿宋" w:hAnsi="仿宋" w:eastAsia="仿宋"/>
                <w:szCs w:val="21"/>
              </w:rPr>
              <w:t>17</w:t>
            </w:r>
          </w:p>
        </w:tc>
        <w:tc>
          <w:tcPr>
            <w:tcW w:w="850" w:type="dxa"/>
            <w:vAlign w:val="center"/>
          </w:tcPr>
          <w:p w14:paraId="2693CCDB">
            <w:pPr>
              <w:jc w:val="center"/>
              <w:rPr>
                <w:rFonts w:ascii="仿宋" w:hAnsi="仿宋" w:eastAsia="仿宋"/>
                <w:szCs w:val="21"/>
              </w:rPr>
            </w:pPr>
          </w:p>
        </w:tc>
        <w:tc>
          <w:tcPr>
            <w:tcW w:w="3119" w:type="dxa"/>
            <w:vAlign w:val="center"/>
          </w:tcPr>
          <w:p w14:paraId="21F05F88">
            <w:pPr>
              <w:rPr>
                <w:rFonts w:ascii="仿宋" w:hAnsi="仿宋" w:eastAsia="仿宋"/>
                <w:szCs w:val="21"/>
              </w:rPr>
            </w:pPr>
          </w:p>
        </w:tc>
        <w:tc>
          <w:tcPr>
            <w:tcW w:w="1701" w:type="dxa"/>
            <w:vAlign w:val="center"/>
          </w:tcPr>
          <w:p w14:paraId="1BB633DC">
            <w:pPr>
              <w:jc w:val="left"/>
              <w:rPr>
                <w:rFonts w:ascii="仿宋" w:hAnsi="仿宋" w:eastAsia="仿宋"/>
                <w:szCs w:val="21"/>
              </w:rPr>
            </w:pPr>
          </w:p>
        </w:tc>
        <w:tc>
          <w:tcPr>
            <w:tcW w:w="1735" w:type="dxa"/>
            <w:vAlign w:val="center"/>
          </w:tcPr>
          <w:p w14:paraId="5F6B72E5">
            <w:pPr>
              <w:rPr>
                <w:rFonts w:ascii="仿宋" w:hAnsi="仿宋" w:eastAsia="仿宋"/>
                <w:szCs w:val="21"/>
              </w:rPr>
            </w:pPr>
          </w:p>
        </w:tc>
      </w:tr>
      <w:tr w14:paraId="5F39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blHeader/>
          <w:jc w:val="center"/>
        </w:trPr>
        <w:tc>
          <w:tcPr>
            <w:tcW w:w="709" w:type="dxa"/>
            <w:vAlign w:val="center"/>
          </w:tcPr>
          <w:p w14:paraId="07F620B3">
            <w:pPr>
              <w:jc w:val="center"/>
              <w:rPr>
                <w:rFonts w:ascii="仿宋" w:hAnsi="仿宋" w:eastAsia="仿宋"/>
                <w:szCs w:val="21"/>
              </w:rPr>
            </w:pPr>
            <w:r>
              <w:rPr>
                <w:rFonts w:hint="eastAsia" w:ascii="仿宋" w:hAnsi="仿宋" w:eastAsia="仿宋"/>
                <w:szCs w:val="21"/>
              </w:rPr>
              <w:t>18</w:t>
            </w:r>
          </w:p>
        </w:tc>
        <w:tc>
          <w:tcPr>
            <w:tcW w:w="850" w:type="dxa"/>
            <w:vAlign w:val="center"/>
          </w:tcPr>
          <w:p w14:paraId="773601C2">
            <w:pPr>
              <w:jc w:val="center"/>
              <w:rPr>
                <w:rFonts w:ascii="仿宋" w:hAnsi="仿宋" w:eastAsia="仿宋"/>
                <w:szCs w:val="21"/>
              </w:rPr>
            </w:pPr>
          </w:p>
        </w:tc>
        <w:tc>
          <w:tcPr>
            <w:tcW w:w="3119" w:type="dxa"/>
            <w:vAlign w:val="center"/>
          </w:tcPr>
          <w:p w14:paraId="10156BCA">
            <w:pPr>
              <w:rPr>
                <w:rFonts w:ascii="仿宋" w:hAnsi="仿宋" w:eastAsia="仿宋"/>
                <w:szCs w:val="21"/>
              </w:rPr>
            </w:pPr>
          </w:p>
        </w:tc>
        <w:tc>
          <w:tcPr>
            <w:tcW w:w="1701" w:type="dxa"/>
            <w:vAlign w:val="center"/>
          </w:tcPr>
          <w:p w14:paraId="58FC4DD8">
            <w:pPr>
              <w:jc w:val="left"/>
              <w:rPr>
                <w:rFonts w:ascii="仿宋" w:hAnsi="仿宋" w:eastAsia="仿宋"/>
                <w:spacing w:val="-8"/>
                <w:szCs w:val="21"/>
              </w:rPr>
            </w:pPr>
          </w:p>
        </w:tc>
        <w:tc>
          <w:tcPr>
            <w:tcW w:w="1735" w:type="dxa"/>
            <w:vAlign w:val="center"/>
          </w:tcPr>
          <w:p w14:paraId="0809681D">
            <w:pPr>
              <w:rPr>
                <w:rFonts w:ascii="仿宋" w:hAnsi="仿宋" w:eastAsia="仿宋"/>
                <w:szCs w:val="21"/>
              </w:rPr>
            </w:pPr>
          </w:p>
        </w:tc>
      </w:tr>
    </w:tbl>
    <w:p w14:paraId="30335F3A">
      <w:pPr>
        <w:spacing w:line="360" w:lineRule="auto"/>
        <w:ind w:firstLine="482" w:firstLineChars="200"/>
        <w:rPr>
          <w:rFonts w:hint="eastAsia" w:ascii="仿宋" w:hAnsi="仿宋" w:eastAsia="仿宋" w:cs="Times New Roman"/>
          <w:b/>
          <w:sz w:val="24"/>
          <w:szCs w:val="24"/>
          <w:lang w:val="en-US" w:eastAsia="zh-CN"/>
        </w:rPr>
      </w:pPr>
    </w:p>
    <w:p w14:paraId="1BC3A4E0">
      <w:pPr>
        <w:numPr>
          <w:ilvl w:val="0"/>
          <w:numId w:val="0"/>
        </w:numPr>
        <w:spacing w:line="360" w:lineRule="auto"/>
        <w:ind w:firstLine="482" w:firstLineChars="200"/>
        <w:rPr>
          <w:rFonts w:hint="eastAsia" w:ascii="仿宋" w:hAnsi="仿宋" w:eastAsia="仿宋" w:cs="Times New Roman"/>
          <w:b/>
          <w:sz w:val="24"/>
          <w:szCs w:val="24"/>
          <w:lang w:val="en-US" w:eastAsia="zh-CN"/>
        </w:rPr>
      </w:pPr>
      <w:r>
        <w:rPr>
          <w:rFonts w:hint="eastAsia" w:ascii="仿宋" w:hAnsi="仿宋" w:eastAsia="仿宋" w:cs="Times New Roman"/>
          <w:b/>
          <w:sz w:val="24"/>
          <w:szCs w:val="24"/>
          <w:lang w:val="en-US" w:eastAsia="zh-CN"/>
        </w:rPr>
        <w:t>3.形成标准送审稿</w:t>
      </w:r>
      <w:bookmarkEnd w:id="8"/>
      <w:bookmarkStart w:id="9" w:name="_Toc1597"/>
    </w:p>
    <w:p w14:paraId="3292DCF0">
      <w:pPr>
        <w:spacing w:line="360" w:lineRule="auto"/>
        <w:ind w:firstLine="480" w:firstLineChars="200"/>
        <w:jc w:val="both"/>
        <w:rPr>
          <w:rFonts w:ascii="仿宋" w:hAnsi="仿宋" w:eastAsia="仿宋" w:cs="Times New Roman"/>
          <w:sz w:val="24"/>
          <w:szCs w:val="24"/>
        </w:rPr>
      </w:pPr>
      <w:r>
        <w:rPr>
          <w:rFonts w:hint="eastAsia" w:ascii="仿宋" w:hAnsi="仿宋" w:eastAsia="仿宋" w:cs="Times New Roman"/>
          <w:sz w:val="24"/>
          <w:szCs w:val="24"/>
          <w:highlight w:val="none"/>
        </w:rPr>
        <w:t>202</w:t>
      </w:r>
      <w:r>
        <w:rPr>
          <w:rFonts w:hint="eastAsia" w:ascii="仿宋" w:hAnsi="仿宋" w:eastAsia="仿宋" w:cs="Times New Roman"/>
          <w:sz w:val="24"/>
          <w:szCs w:val="24"/>
          <w:highlight w:val="none"/>
          <w:lang w:val="en-US" w:eastAsia="zh-CN"/>
        </w:rPr>
        <w:t>6</w:t>
      </w:r>
      <w:r>
        <w:rPr>
          <w:rFonts w:hint="eastAsia" w:ascii="仿宋" w:hAnsi="仿宋" w:eastAsia="仿宋" w:cs="Times New Roman"/>
          <w:sz w:val="24"/>
          <w:szCs w:val="24"/>
          <w:highlight w:val="none"/>
        </w:rPr>
        <w:t>年</w:t>
      </w:r>
      <w:r>
        <w:rPr>
          <w:rFonts w:hint="eastAsia" w:ascii="仿宋" w:hAnsi="仿宋" w:eastAsia="仿宋" w:cs="Times New Roman"/>
          <w:sz w:val="24"/>
          <w:szCs w:val="24"/>
          <w:highlight w:val="none"/>
          <w:lang w:val="en-US" w:eastAsia="zh-CN"/>
        </w:rPr>
        <w:t xml:space="preserve">  </w:t>
      </w:r>
      <w:r>
        <w:rPr>
          <w:rFonts w:hint="eastAsia" w:ascii="仿宋" w:hAnsi="仿宋" w:eastAsia="仿宋" w:cs="Times New Roman"/>
          <w:sz w:val="24"/>
          <w:szCs w:val="24"/>
          <w:highlight w:val="none"/>
        </w:rPr>
        <w:t>月至</w:t>
      </w:r>
      <w:r>
        <w:rPr>
          <w:rFonts w:hint="eastAsia" w:ascii="仿宋" w:hAnsi="仿宋" w:eastAsia="仿宋" w:cs="Times New Roman"/>
          <w:sz w:val="24"/>
          <w:szCs w:val="24"/>
          <w:highlight w:val="none"/>
          <w:lang w:val="en-US" w:eastAsia="zh-CN"/>
        </w:rPr>
        <w:t xml:space="preserve">  </w:t>
      </w:r>
      <w:r>
        <w:rPr>
          <w:rFonts w:hint="eastAsia" w:ascii="仿宋" w:hAnsi="仿宋" w:eastAsia="仿宋" w:cs="Times New Roman"/>
          <w:sz w:val="24"/>
          <w:szCs w:val="24"/>
          <w:highlight w:val="none"/>
        </w:rPr>
        <w:t>月，起草组对收到的</w:t>
      </w:r>
      <w:r>
        <w:rPr>
          <w:rFonts w:hint="eastAsia" w:ascii="仿宋" w:hAnsi="仿宋" w:eastAsia="仿宋" w:cs="Times New Roman"/>
          <w:sz w:val="24"/>
          <w:szCs w:val="24"/>
          <w:highlight w:val="none"/>
          <w:lang w:val="en-US" w:eastAsia="zh-CN"/>
        </w:rPr>
        <w:t xml:space="preserve">  </w:t>
      </w:r>
      <w:r>
        <w:rPr>
          <w:rFonts w:hint="eastAsia" w:ascii="仿宋" w:hAnsi="仿宋" w:eastAsia="仿宋" w:cs="Times New Roman"/>
          <w:sz w:val="24"/>
          <w:szCs w:val="24"/>
          <w:highlight w:val="none"/>
        </w:rPr>
        <w:t>条意见进行分析研究，确定采纳其中</w:t>
      </w:r>
      <w:r>
        <w:rPr>
          <w:rFonts w:hint="eastAsia" w:ascii="仿宋" w:hAnsi="仿宋" w:eastAsia="仿宋" w:cs="Times New Roman"/>
          <w:sz w:val="24"/>
          <w:szCs w:val="24"/>
          <w:highlight w:val="none"/>
          <w:lang w:val="en-US" w:eastAsia="zh-CN"/>
        </w:rPr>
        <w:t xml:space="preserve">  </w:t>
      </w:r>
      <w:r>
        <w:rPr>
          <w:rFonts w:hint="eastAsia" w:ascii="仿宋" w:hAnsi="仿宋" w:eastAsia="仿宋" w:cs="Times New Roman"/>
          <w:sz w:val="24"/>
          <w:szCs w:val="24"/>
          <w:highlight w:val="none"/>
        </w:rPr>
        <w:t>条意见，部分采纳</w:t>
      </w:r>
      <w:r>
        <w:rPr>
          <w:rFonts w:hint="eastAsia" w:ascii="仿宋" w:hAnsi="仿宋" w:eastAsia="仿宋" w:cs="Times New Roman"/>
          <w:sz w:val="24"/>
          <w:szCs w:val="24"/>
          <w:highlight w:val="none"/>
          <w:lang w:val="en-US" w:eastAsia="zh-CN"/>
        </w:rPr>
        <w:t xml:space="preserve">  </w:t>
      </w:r>
      <w:r>
        <w:rPr>
          <w:rFonts w:hint="eastAsia" w:ascii="仿宋" w:hAnsi="仿宋" w:eastAsia="仿宋" w:cs="Times New Roman"/>
          <w:sz w:val="24"/>
          <w:szCs w:val="24"/>
          <w:highlight w:val="none"/>
        </w:rPr>
        <w:t>条，意</w:t>
      </w:r>
      <w:r>
        <w:rPr>
          <w:rFonts w:hint="eastAsia" w:ascii="仿宋" w:hAnsi="仿宋" w:eastAsia="仿宋" w:cs="Times New Roman"/>
          <w:sz w:val="24"/>
          <w:szCs w:val="24"/>
        </w:rPr>
        <w:t>见处理情况及部分采纳的理由见表2。在采纳意见修改的同时，起草组对征求意见稿进一步完善，形成送审稿。</w:t>
      </w:r>
    </w:p>
    <w:p w14:paraId="434ED4E0">
      <w:pPr>
        <w:spacing w:line="360" w:lineRule="auto"/>
        <w:ind w:firstLine="482" w:firstLineChars="200"/>
        <w:rPr>
          <w:rFonts w:ascii="仿宋" w:hAnsi="仿宋" w:eastAsia="仿宋" w:cs="Times New Roman"/>
          <w:b/>
          <w:color w:val="auto"/>
          <w:sz w:val="24"/>
          <w:szCs w:val="24"/>
        </w:rPr>
      </w:pPr>
      <w:r>
        <w:rPr>
          <w:rFonts w:hint="eastAsia" w:ascii="仿宋" w:hAnsi="仿宋" w:eastAsia="仿宋" w:cs="Times New Roman"/>
          <w:b/>
          <w:color w:val="auto"/>
          <w:sz w:val="24"/>
          <w:szCs w:val="24"/>
        </w:rPr>
        <w:t>4.公平竞争审查</w:t>
      </w:r>
    </w:p>
    <w:p w14:paraId="07257996">
      <w:pPr>
        <w:spacing w:line="360" w:lineRule="auto"/>
        <w:ind w:firstLine="480" w:firstLineChars="200"/>
        <w:jc w:val="both"/>
        <w:rPr>
          <w:rFonts w:ascii="仿宋" w:hAnsi="仿宋" w:eastAsia="仿宋" w:cs="Times New Roman"/>
          <w:color w:val="0000FF"/>
          <w:sz w:val="24"/>
          <w:szCs w:val="24"/>
        </w:rPr>
      </w:pPr>
      <w:r>
        <w:rPr>
          <w:rFonts w:hint="eastAsia" w:ascii="仿宋" w:hAnsi="仿宋" w:eastAsia="仿宋" w:cs="Times New Roman"/>
          <w:color w:val="0000FF"/>
          <w:sz w:val="24"/>
          <w:szCs w:val="24"/>
        </w:rPr>
        <w:t>征求意见期间，归口单位针对标准内容和征求意见反馈情况，按照《国家标准化管理委员会关于国家标准起草中开展公平竞争审查的通知》要求，对标准进行了公平竞争审查，审查结论为符合公平竞争审查标准。</w:t>
      </w:r>
    </w:p>
    <w:p w14:paraId="79FC971E">
      <w:pPr>
        <w:spacing w:line="360" w:lineRule="auto"/>
        <w:ind w:firstLine="482" w:firstLineChars="200"/>
        <w:rPr>
          <w:rFonts w:ascii="仿宋" w:hAnsi="仿宋" w:eastAsia="仿宋" w:cs="Times New Roman"/>
          <w:b/>
          <w:color w:val="0000FF"/>
          <w:sz w:val="24"/>
          <w:szCs w:val="24"/>
        </w:rPr>
      </w:pPr>
      <w:r>
        <w:rPr>
          <w:rFonts w:hint="eastAsia" w:ascii="仿宋" w:hAnsi="仿宋" w:eastAsia="仿宋" w:cs="Times New Roman"/>
          <w:b/>
          <w:color w:val="0000FF"/>
          <w:sz w:val="24"/>
          <w:szCs w:val="24"/>
        </w:rPr>
        <w:t>5.技术审查和形成报批稿</w:t>
      </w:r>
    </w:p>
    <w:p w14:paraId="1D404231">
      <w:pPr>
        <w:spacing w:line="360" w:lineRule="auto"/>
        <w:ind w:firstLine="480" w:firstLineChars="200"/>
        <w:jc w:val="both"/>
        <w:rPr>
          <w:rFonts w:hint="eastAsia" w:ascii="仿宋" w:hAnsi="仿宋" w:eastAsia="仿宋" w:cs="Times New Roman"/>
          <w:color w:val="0000FF"/>
          <w:sz w:val="24"/>
          <w:szCs w:val="24"/>
          <w:lang w:val="en-US" w:eastAsia="zh-CN"/>
        </w:rPr>
      </w:pPr>
      <w:r>
        <w:rPr>
          <w:rFonts w:hint="eastAsia" w:ascii="仿宋" w:hAnsi="仿宋" w:eastAsia="仿宋" w:cs="Times New Roman"/>
          <w:color w:val="0000FF"/>
          <w:sz w:val="24"/>
          <w:szCs w:val="24"/>
        </w:rPr>
        <w:t>202</w:t>
      </w:r>
      <w:r>
        <w:rPr>
          <w:rFonts w:hint="eastAsia" w:ascii="仿宋" w:hAnsi="仿宋" w:eastAsia="仿宋" w:cs="Times New Roman"/>
          <w:color w:val="0000FF"/>
          <w:sz w:val="24"/>
          <w:szCs w:val="24"/>
          <w:lang w:val="en-US" w:eastAsia="zh-CN"/>
        </w:rPr>
        <w:t>6</w:t>
      </w:r>
      <w:r>
        <w:rPr>
          <w:rFonts w:hint="eastAsia" w:ascii="仿宋" w:hAnsi="仿宋" w:eastAsia="仿宋" w:cs="Times New Roman"/>
          <w:color w:val="0000FF"/>
          <w:sz w:val="24"/>
          <w:szCs w:val="24"/>
        </w:rPr>
        <w:t>年</w:t>
      </w:r>
      <w:r>
        <w:rPr>
          <w:rFonts w:hint="eastAsia" w:ascii="仿宋" w:hAnsi="仿宋" w:eastAsia="仿宋" w:cs="Times New Roman"/>
          <w:color w:val="0000FF"/>
          <w:sz w:val="24"/>
          <w:szCs w:val="24"/>
          <w:lang w:val="en-US" w:eastAsia="zh-CN"/>
        </w:rPr>
        <w:t xml:space="preserve">  </w:t>
      </w:r>
      <w:r>
        <w:rPr>
          <w:rFonts w:hint="eastAsia" w:ascii="仿宋" w:hAnsi="仿宋" w:eastAsia="仿宋" w:cs="Times New Roman"/>
          <w:color w:val="0000FF"/>
          <w:sz w:val="24"/>
          <w:szCs w:val="24"/>
        </w:rPr>
        <w:t>月</w:t>
      </w:r>
      <w:r>
        <w:rPr>
          <w:rFonts w:hint="eastAsia" w:ascii="仿宋" w:hAnsi="仿宋" w:eastAsia="仿宋" w:cs="Times New Roman"/>
          <w:color w:val="0000FF"/>
          <w:sz w:val="24"/>
          <w:szCs w:val="24"/>
          <w:lang w:val="en-US" w:eastAsia="zh-CN"/>
        </w:rPr>
        <w:t xml:space="preserve">  </w:t>
      </w:r>
      <w:r>
        <w:rPr>
          <w:rFonts w:hint="eastAsia" w:ascii="仿宋" w:hAnsi="仿宋" w:eastAsia="仿宋" w:cs="Times New Roman"/>
          <w:color w:val="0000FF"/>
          <w:sz w:val="24"/>
          <w:szCs w:val="24"/>
        </w:rPr>
        <w:t>日，中华全国供销合作总社在</w:t>
      </w:r>
      <w:r>
        <w:rPr>
          <w:rFonts w:hint="eastAsia" w:ascii="仿宋" w:hAnsi="仿宋" w:eastAsia="仿宋" w:cs="Times New Roman"/>
          <w:color w:val="0000FF"/>
          <w:sz w:val="24"/>
          <w:szCs w:val="24"/>
          <w:lang w:val="en-US" w:eastAsia="zh-CN"/>
        </w:rPr>
        <w:t xml:space="preserve">     </w:t>
      </w:r>
      <w:r>
        <w:rPr>
          <w:rFonts w:hint="eastAsia" w:ascii="仿宋" w:hAnsi="仿宋" w:eastAsia="仿宋" w:cs="Times New Roman"/>
          <w:color w:val="0000FF"/>
          <w:sz w:val="24"/>
          <w:szCs w:val="24"/>
        </w:rPr>
        <w:t>组织召开《</w:t>
      </w:r>
      <w:r>
        <w:rPr>
          <w:rFonts w:hint="eastAsia" w:ascii="仿宋" w:hAnsi="仿宋" w:eastAsia="仿宋" w:cs="Times New Roman"/>
          <w:color w:val="0000FF"/>
          <w:sz w:val="24"/>
          <w:szCs w:val="24"/>
          <w:lang w:eastAsia="zh-CN"/>
        </w:rPr>
        <w:t>蛹虫草多糖</w:t>
      </w:r>
      <w:r>
        <w:rPr>
          <w:rFonts w:hint="eastAsia" w:ascii="仿宋" w:hAnsi="仿宋" w:eastAsia="仿宋" w:cs="Times New Roman"/>
          <w:color w:val="0000FF"/>
          <w:sz w:val="24"/>
          <w:szCs w:val="24"/>
        </w:rPr>
        <w:t>生产技术规程》推荐性国家标准技术审查会，审查专家组由</w:t>
      </w:r>
      <w:r>
        <w:rPr>
          <w:rFonts w:hint="eastAsia" w:ascii="仿宋" w:hAnsi="仿宋" w:eastAsia="仿宋" w:cs="Times New Roman"/>
          <w:color w:val="0000FF"/>
          <w:sz w:val="24"/>
          <w:szCs w:val="24"/>
          <w:lang w:val="en-US" w:eastAsia="zh-CN"/>
        </w:rPr>
        <w:t xml:space="preserve">         </w:t>
      </w:r>
      <w:r>
        <w:rPr>
          <w:rFonts w:hint="eastAsia" w:ascii="仿宋" w:hAnsi="仿宋" w:eastAsia="仿宋" w:cs="Times New Roman"/>
          <w:color w:val="0000FF"/>
          <w:sz w:val="24"/>
          <w:szCs w:val="24"/>
        </w:rPr>
        <w:t>等单位</w:t>
      </w:r>
      <w:r>
        <w:rPr>
          <w:rFonts w:hint="eastAsia" w:ascii="仿宋" w:hAnsi="仿宋" w:eastAsia="仿宋" w:cs="Times New Roman"/>
          <w:color w:val="0000FF"/>
          <w:sz w:val="24"/>
          <w:szCs w:val="24"/>
          <w:lang w:val="en-US" w:eastAsia="zh-CN"/>
        </w:rPr>
        <w:t xml:space="preserve">  </w:t>
      </w:r>
      <w:r>
        <w:rPr>
          <w:rFonts w:hint="eastAsia" w:ascii="仿宋" w:hAnsi="仿宋" w:eastAsia="仿宋" w:cs="Times New Roman"/>
          <w:color w:val="0000FF"/>
          <w:sz w:val="24"/>
          <w:szCs w:val="24"/>
        </w:rPr>
        <w:t>名专家组成。审查专家组同意通过对《</w:t>
      </w:r>
      <w:r>
        <w:rPr>
          <w:rFonts w:hint="eastAsia" w:ascii="仿宋" w:hAnsi="仿宋" w:eastAsia="仿宋" w:cs="Times New Roman"/>
          <w:color w:val="0000FF"/>
          <w:sz w:val="24"/>
          <w:szCs w:val="24"/>
          <w:lang w:eastAsia="zh-CN"/>
        </w:rPr>
        <w:t>蛹虫草多糖</w:t>
      </w:r>
      <w:r>
        <w:rPr>
          <w:rFonts w:hint="eastAsia" w:ascii="仿宋" w:hAnsi="仿宋" w:eastAsia="仿宋" w:cs="Times New Roman"/>
          <w:color w:val="0000FF"/>
          <w:sz w:val="24"/>
          <w:szCs w:val="24"/>
        </w:rPr>
        <w:t>生产技术规程》国家标准（送审稿）的审查，提出修改意见</w:t>
      </w:r>
      <w:r>
        <w:rPr>
          <w:rFonts w:hint="eastAsia" w:ascii="仿宋" w:hAnsi="仿宋" w:eastAsia="仿宋" w:cs="Times New Roman"/>
          <w:color w:val="0000FF"/>
          <w:sz w:val="24"/>
          <w:szCs w:val="24"/>
          <w:lang w:val="en-US" w:eastAsia="zh-CN"/>
        </w:rPr>
        <w:t xml:space="preserve">  </w:t>
      </w:r>
      <w:r>
        <w:rPr>
          <w:rFonts w:hint="eastAsia" w:ascii="仿宋" w:hAnsi="仿宋" w:eastAsia="仿宋" w:cs="Times New Roman"/>
          <w:color w:val="0000FF"/>
          <w:sz w:val="24"/>
          <w:szCs w:val="24"/>
        </w:rPr>
        <w:t>条，建议起草组按照修改意见修改形成报批稿，并按相关程序上报。审查会后，起草组采纳审查专家组提出的全部</w:t>
      </w:r>
      <w:r>
        <w:rPr>
          <w:rFonts w:hint="eastAsia" w:ascii="仿宋" w:hAnsi="仿宋" w:eastAsia="仿宋" w:cs="Times New Roman"/>
          <w:color w:val="0000FF"/>
          <w:sz w:val="24"/>
          <w:szCs w:val="24"/>
          <w:lang w:val="en-US" w:eastAsia="zh-CN"/>
        </w:rPr>
        <w:t xml:space="preserve">  </w:t>
      </w:r>
      <w:r>
        <w:rPr>
          <w:rFonts w:hint="eastAsia" w:ascii="仿宋" w:hAnsi="仿宋" w:eastAsia="仿宋" w:cs="Times New Roman"/>
          <w:color w:val="0000FF"/>
          <w:sz w:val="24"/>
          <w:szCs w:val="24"/>
        </w:rPr>
        <w:t>条意见，对送审稿修改形成报批稿。</w:t>
      </w:r>
    </w:p>
    <w:bookmarkEnd w:id="9"/>
    <w:p w14:paraId="24386674">
      <w:pPr>
        <w:spacing w:line="360" w:lineRule="auto"/>
        <w:ind w:firstLine="480" w:firstLineChars="200"/>
        <w:jc w:val="both"/>
        <w:rPr>
          <w:rFonts w:ascii="黑体" w:hAnsi="黑体" w:eastAsia="黑体"/>
          <w:sz w:val="24"/>
          <w:szCs w:val="24"/>
        </w:rPr>
      </w:pPr>
      <w:bookmarkStart w:id="10" w:name="_Toc30633"/>
      <w:r>
        <w:rPr>
          <w:rFonts w:hint="eastAsia" w:ascii="黑体" w:hAnsi="黑体" w:eastAsia="黑体"/>
          <w:sz w:val="24"/>
          <w:szCs w:val="24"/>
        </w:rPr>
        <w:t>二、标准编制原则和主要内容及其确定依据</w:t>
      </w:r>
    </w:p>
    <w:p w14:paraId="5CF7C290">
      <w:pPr>
        <w:spacing w:line="360" w:lineRule="auto"/>
        <w:ind w:firstLine="480" w:firstLineChars="200"/>
        <w:jc w:val="both"/>
        <w:rPr>
          <w:rFonts w:ascii="楷体" w:hAnsi="楷体" w:eastAsia="楷体"/>
          <w:sz w:val="24"/>
          <w:szCs w:val="24"/>
        </w:rPr>
      </w:pPr>
      <w:r>
        <w:rPr>
          <w:rFonts w:hint="eastAsia" w:ascii="楷体" w:hAnsi="楷体" w:eastAsia="楷体"/>
          <w:sz w:val="24"/>
          <w:szCs w:val="24"/>
        </w:rPr>
        <w:t>（一）编制原则</w:t>
      </w:r>
    </w:p>
    <w:bookmarkEnd w:id="10"/>
    <w:p w14:paraId="1299542C">
      <w:pPr>
        <w:spacing w:line="360" w:lineRule="auto"/>
        <w:ind w:firstLine="482" w:firstLineChars="200"/>
        <w:jc w:val="both"/>
        <w:rPr>
          <w:rFonts w:hint="eastAsia" w:ascii="仿宋" w:hAnsi="仿宋" w:eastAsia="仿宋" w:cs="Times New Roman"/>
          <w:b/>
          <w:bCs/>
          <w:sz w:val="24"/>
          <w:szCs w:val="24"/>
          <w:lang w:val="en-US" w:eastAsia="zh-CN"/>
        </w:rPr>
      </w:pPr>
      <w:r>
        <w:rPr>
          <w:rFonts w:hint="eastAsia" w:ascii="仿宋" w:hAnsi="仿宋" w:eastAsia="仿宋" w:cs="Times New Roman"/>
          <w:b/>
          <w:bCs/>
          <w:sz w:val="24"/>
          <w:szCs w:val="24"/>
          <w:lang w:val="en-US" w:eastAsia="zh-CN"/>
        </w:rPr>
        <w:t>1.科学性原则</w:t>
      </w:r>
    </w:p>
    <w:p w14:paraId="1F26DAEA">
      <w:pPr>
        <w:spacing w:line="360" w:lineRule="auto"/>
        <w:ind w:firstLine="480" w:firstLineChars="200"/>
        <w:jc w:val="both"/>
        <w:rPr>
          <w:rFonts w:hint="default" w:ascii="仿宋" w:hAnsi="仿宋" w:eastAsia="仿宋" w:cs="Times New Roman"/>
          <w:sz w:val="24"/>
          <w:szCs w:val="24"/>
          <w:lang w:val="en-US" w:eastAsia="zh-CN"/>
        </w:rPr>
      </w:pPr>
      <w:r>
        <w:rPr>
          <w:rFonts w:hint="default" w:ascii="仿宋" w:hAnsi="仿宋" w:eastAsia="仿宋" w:cs="Times New Roman"/>
          <w:sz w:val="24"/>
          <w:szCs w:val="24"/>
          <w:lang w:val="en-US" w:eastAsia="zh-CN"/>
        </w:rPr>
        <w:t>本标准以实现蛹虫草多糖生产工艺科学规范、质量稳定可控、产业应用安全高效为目标，立足我国菌物及植物多糖提取产业发展现状与现代化需求，充分吸纳科研机构、高等院校及生产企业的最新研究成果与成熟技术，整合起草单位多年科研数据与生产实践经验，综合考量我国行业现有提取设备条件、检测仪器与试剂材料供应情况，以及从业人员技术水平和企业实际生产状况，广泛征求国内主要菌物提取</w:t>
      </w:r>
      <w:r>
        <w:rPr>
          <w:rFonts w:hint="eastAsia" w:ascii="仿宋" w:hAnsi="仿宋" w:eastAsia="仿宋" w:cs="Times New Roman"/>
          <w:sz w:val="24"/>
          <w:szCs w:val="24"/>
          <w:lang w:val="en-US" w:eastAsia="zh-CN"/>
        </w:rPr>
        <w:t>物</w:t>
      </w:r>
      <w:r>
        <w:rPr>
          <w:rFonts w:hint="default" w:ascii="仿宋" w:hAnsi="仿宋" w:eastAsia="仿宋" w:cs="Times New Roman"/>
          <w:sz w:val="24"/>
          <w:szCs w:val="24"/>
          <w:lang w:val="en-US" w:eastAsia="zh-CN"/>
        </w:rPr>
        <w:t>相关企业与行业专家学者意见，严格遵循先进性、适用性、可操作性、实用性的科学原则开展编制工作</w:t>
      </w:r>
      <w:r>
        <w:rPr>
          <w:rFonts w:hint="eastAsia" w:ascii="仿宋" w:hAnsi="仿宋" w:eastAsia="仿宋" w:cs="Times New Roman"/>
          <w:sz w:val="24"/>
          <w:szCs w:val="24"/>
          <w:lang w:val="en-US" w:eastAsia="zh-CN"/>
        </w:rPr>
        <w:t>。</w:t>
      </w:r>
    </w:p>
    <w:p w14:paraId="3E81EC2F">
      <w:pPr>
        <w:numPr>
          <w:ilvl w:val="0"/>
          <w:numId w:val="0"/>
        </w:numPr>
        <w:spacing w:line="360" w:lineRule="auto"/>
        <w:ind w:firstLine="482" w:firstLineChars="200"/>
        <w:jc w:val="both"/>
        <w:rPr>
          <w:rFonts w:hint="default" w:ascii="仿宋" w:hAnsi="仿宋" w:eastAsia="仿宋" w:cs="Times New Roman"/>
          <w:b/>
          <w:bCs/>
          <w:sz w:val="24"/>
          <w:szCs w:val="24"/>
          <w:lang w:val="en-US" w:eastAsia="zh-CN"/>
        </w:rPr>
      </w:pPr>
      <w:r>
        <w:rPr>
          <w:rFonts w:hint="eastAsia" w:ascii="仿宋" w:hAnsi="仿宋" w:eastAsia="仿宋" w:cs="Times New Roman"/>
          <w:b/>
          <w:bCs/>
          <w:sz w:val="24"/>
          <w:szCs w:val="24"/>
          <w:lang w:val="en-US" w:eastAsia="zh-CN"/>
        </w:rPr>
        <w:t>2.规范性原则</w:t>
      </w:r>
    </w:p>
    <w:p w14:paraId="266E1219">
      <w:pPr>
        <w:pStyle w:val="18"/>
        <w:keepNext w:val="0"/>
        <w:keepLines w:val="0"/>
        <w:pageBreakBefore w:val="0"/>
        <w:widowControl/>
        <w:kinsoku/>
        <w:wordWrap/>
        <w:overflowPunct/>
        <w:topLinePunct w:val="0"/>
        <w:autoSpaceDE w:val="0"/>
        <w:autoSpaceDN w:val="0"/>
        <w:bidi w:val="0"/>
        <w:adjustRightInd/>
        <w:snapToGrid/>
        <w:spacing w:line="360" w:lineRule="auto"/>
        <w:ind w:firstLine="420"/>
        <w:textAlignment w:val="auto"/>
        <w:rPr>
          <w:rFonts w:hint="eastAsia" w:ascii="仿宋" w:hAnsi="仿宋" w:eastAsia="仿宋" w:cs="Times New Roman"/>
          <w:snapToGrid w:val="0"/>
          <w:color w:val="000000"/>
          <w:kern w:val="0"/>
          <w:sz w:val="24"/>
          <w:szCs w:val="24"/>
          <w:lang w:val="en-US" w:eastAsia="zh-CN" w:bidi="ar-SA"/>
        </w:rPr>
      </w:pPr>
      <w:r>
        <w:rPr>
          <w:rFonts w:hint="eastAsia" w:ascii="仿宋" w:hAnsi="仿宋" w:eastAsia="仿宋" w:cs="Times New Roman"/>
          <w:snapToGrid w:val="0"/>
          <w:color w:val="000000"/>
          <w:kern w:val="0"/>
          <w:sz w:val="24"/>
          <w:szCs w:val="24"/>
          <w:lang w:val="en-US" w:eastAsia="zh-CN" w:bidi="ar-SA"/>
        </w:rPr>
        <w:t>本标准根据《国家标准管理办法》要求组织开展编制工作，项目管理、工作程序、时间节点、质量要求均遵循《国家标准管理办法》。根据《新食品原料管理要求》，蛹虫草作为新食品原料（2009年卫生部第3号公告），标准符合《新食品原料安全性审查管理办法》。蛹虫草多糖作为保健食品，符合《保健食品注册与备案管理办法》、《食品安全法》及《GB 7718 食品安全国家标准 预包装食品标签通则》中关于原料使用和标签标识的规定。蛹虫草多糖生产工艺流程符合《环境保护法》和《清洁生产促进法》，废水排放符合《提取类制药工业水污染物排放标准》（GB 21905-2008），标准规定的废水处理工艺（如COD、重金属限值），均遵循环保法规。</w:t>
      </w:r>
    </w:p>
    <w:p w14:paraId="27B71298">
      <w:pPr>
        <w:spacing w:line="360" w:lineRule="auto"/>
        <w:ind w:firstLine="482" w:firstLineChars="200"/>
        <w:rPr>
          <w:rFonts w:hint="eastAsia" w:ascii="仿宋" w:hAnsi="仿宋" w:eastAsia="仿宋" w:cs="Times New Roman"/>
          <w:b/>
          <w:bCs/>
          <w:sz w:val="24"/>
          <w:szCs w:val="24"/>
          <w:lang w:val="en-US" w:eastAsia="zh-CN"/>
        </w:rPr>
      </w:pPr>
      <w:r>
        <w:rPr>
          <w:rFonts w:hint="eastAsia" w:ascii="仿宋" w:hAnsi="仿宋" w:eastAsia="仿宋" w:cs="Times New Roman"/>
          <w:b/>
          <w:bCs/>
          <w:sz w:val="24"/>
          <w:szCs w:val="24"/>
          <w:lang w:val="en-US" w:eastAsia="zh-CN"/>
        </w:rPr>
        <w:t>3.协调性原则</w:t>
      </w:r>
    </w:p>
    <w:p w14:paraId="6CB6631A">
      <w:pPr>
        <w:pStyle w:val="18"/>
        <w:keepNext w:val="0"/>
        <w:keepLines w:val="0"/>
        <w:pageBreakBefore w:val="0"/>
        <w:widowControl/>
        <w:kinsoku/>
        <w:wordWrap/>
        <w:overflowPunct/>
        <w:topLinePunct w:val="0"/>
        <w:autoSpaceDE w:val="0"/>
        <w:autoSpaceDN w:val="0"/>
        <w:bidi w:val="0"/>
        <w:adjustRightInd/>
        <w:snapToGrid/>
        <w:spacing w:line="360" w:lineRule="auto"/>
        <w:ind w:firstLine="420"/>
        <w:textAlignment w:val="auto"/>
        <w:rPr>
          <w:rFonts w:hint="eastAsia" w:ascii="仿宋" w:hAnsi="仿宋" w:eastAsia="仿宋" w:cs="Times New Roman"/>
          <w:sz w:val="24"/>
          <w:szCs w:val="24"/>
        </w:rPr>
      </w:pPr>
      <w:r>
        <w:rPr>
          <w:rFonts w:hint="eastAsia" w:ascii="仿宋" w:hAnsi="仿宋" w:eastAsia="仿宋" w:cs="Times New Roman"/>
          <w:sz w:val="24"/>
          <w:szCs w:val="24"/>
          <w:lang w:val="en-US" w:eastAsia="zh-CN"/>
        </w:rPr>
        <w:t>本标准技术内容</w:t>
      </w:r>
      <w:r>
        <w:rPr>
          <w:rFonts w:hint="eastAsia" w:ascii="仿宋" w:hAnsi="仿宋" w:eastAsia="仿宋" w:cs="Times New Roman"/>
          <w:sz w:val="24"/>
          <w:szCs w:val="24"/>
        </w:rPr>
        <w:t>确保与现行国家标准、行业标准及国际相关要求充分衔接、协同兼容。在检测方法上，标准采用</w:t>
      </w:r>
      <w:r>
        <w:rPr>
          <w:rFonts w:hint="eastAsia" w:ascii="仿宋" w:hAnsi="仿宋" w:eastAsia="仿宋" w:cs="Times New Roman"/>
          <w:sz w:val="24"/>
          <w:szCs w:val="24"/>
          <w:lang w:val="en-US" w:eastAsia="zh-CN"/>
        </w:rPr>
        <w:t>高效液相色谱（</w:t>
      </w:r>
      <w:r>
        <w:rPr>
          <w:rFonts w:hint="eastAsia" w:ascii="仿宋" w:hAnsi="仿宋" w:eastAsia="仿宋" w:cs="Times New Roman"/>
          <w:sz w:val="24"/>
          <w:szCs w:val="24"/>
        </w:rPr>
        <w:t>HPLC</w:t>
      </w:r>
      <w:r>
        <w:rPr>
          <w:rFonts w:hint="eastAsia" w:ascii="仿宋" w:hAnsi="仿宋" w:eastAsia="仿宋" w:cs="Times New Roman"/>
          <w:sz w:val="24"/>
          <w:szCs w:val="24"/>
          <w:lang w:eastAsia="zh-CN"/>
        </w:rPr>
        <w:t>）</w:t>
      </w:r>
      <w:r>
        <w:rPr>
          <w:rFonts w:hint="eastAsia" w:ascii="仿宋" w:hAnsi="仿宋" w:eastAsia="仿宋" w:cs="Times New Roman"/>
          <w:sz w:val="24"/>
          <w:szCs w:val="24"/>
        </w:rPr>
        <w:t>检测腺苷、苯酚</w:t>
      </w:r>
      <w:r>
        <w:rPr>
          <w:rFonts w:hint="eastAsia" w:ascii="仿宋" w:hAnsi="仿宋" w:eastAsia="仿宋" w:cs="Times New Roman"/>
          <w:sz w:val="24"/>
          <w:szCs w:val="24"/>
          <w:lang w:val="en-US" w:eastAsia="zh-CN"/>
        </w:rPr>
        <w:t>-</w:t>
      </w:r>
      <w:r>
        <w:rPr>
          <w:rFonts w:hint="eastAsia" w:ascii="仿宋" w:hAnsi="仿宋" w:eastAsia="仿宋" w:cs="Times New Roman"/>
          <w:sz w:val="24"/>
          <w:szCs w:val="24"/>
        </w:rPr>
        <w:t>硫酸法测定多糖，与《保健食品检验与评价技术规范》（2003年版）及《</w:t>
      </w:r>
      <w:r>
        <w:rPr>
          <w:rFonts w:hint="eastAsia"/>
        </w:rPr>
        <w:t>QB/T 8147 食用菌多糖</w:t>
      </w:r>
      <w:r>
        <w:rPr>
          <w:rFonts w:hint="eastAsia"/>
          <w:lang w:eastAsia="zh-CN"/>
        </w:rPr>
        <w:t>》</w:t>
      </w:r>
      <w:r>
        <w:rPr>
          <w:rFonts w:hint="eastAsia" w:ascii="仿宋" w:hAnsi="仿宋" w:eastAsia="仿宋" w:cs="Times New Roman"/>
          <w:sz w:val="24"/>
          <w:szCs w:val="24"/>
        </w:rPr>
        <w:t>相兼容；安全指标中重金属、微生物限量等与GB 2762《食品安全国家标准食品中污染物限量》及药典通则保持一致，标签标识符合GB 7718《预包装食品标签通则》相关要求。在行业标准协同上，原料分级与GH/T 1240</w:t>
      </w:r>
      <w:r>
        <w:rPr>
          <w:rFonts w:hint="eastAsia" w:ascii="仿宋" w:hAnsi="仿宋" w:eastAsia="仿宋" w:cs="Times New Roman"/>
          <w:sz w:val="24"/>
          <w:szCs w:val="24"/>
          <w:lang w:val="en-US" w:eastAsia="zh-CN"/>
        </w:rPr>
        <w:t>-</w:t>
      </w:r>
      <w:r>
        <w:rPr>
          <w:rFonts w:hint="eastAsia" w:ascii="仿宋" w:hAnsi="仿宋" w:eastAsia="仿宋" w:cs="Times New Roman"/>
          <w:sz w:val="24"/>
          <w:szCs w:val="24"/>
        </w:rPr>
        <w:t>2019《干制蛹虫草》</w:t>
      </w:r>
      <w:r>
        <w:rPr>
          <w:rFonts w:hint="eastAsia" w:ascii="仿宋" w:hAnsi="仿宋" w:eastAsia="仿宋" w:cs="Times New Roman"/>
          <w:sz w:val="24"/>
          <w:szCs w:val="24"/>
          <w:lang w:val="en-US" w:eastAsia="zh-CN"/>
        </w:rPr>
        <w:t>要求</w:t>
      </w:r>
      <w:r>
        <w:rPr>
          <w:rFonts w:hint="eastAsia" w:ascii="仿宋" w:hAnsi="仿宋" w:eastAsia="仿宋" w:cs="Times New Roman"/>
          <w:sz w:val="24"/>
          <w:szCs w:val="24"/>
        </w:rPr>
        <w:t>相协调，多糖含量指标形成互补，提取工艺参考《</w:t>
      </w:r>
      <w:r>
        <w:rPr>
          <w:rFonts w:hint="eastAsia"/>
        </w:rPr>
        <w:t>QB/T 8147 食用菌多糖</w:t>
      </w:r>
      <w:r>
        <w:rPr>
          <w:rFonts w:hint="eastAsia" w:ascii="仿宋" w:hAnsi="仿宋" w:eastAsia="仿宋" w:cs="Times New Roman"/>
          <w:sz w:val="24"/>
          <w:szCs w:val="24"/>
        </w:rPr>
        <w:t>》</w:t>
      </w:r>
      <w:r>
        <w:rPr>
          <w:rFonts w:hint="eastAsia" w:ascii="仿宋" w:hAnsi="仿宋" w:eastAsia="仿宋" w:cs="Times New Roman"/>
          <w:sz w:val="24"/>
          <w:szCs w:val="24"/>
          <w:lang w:eastAsia="zh-CN"/>
        </w:rPr>
        <w:t>、《</w:t>
      </w:r>
      <w:r>
        <w:rPr>
          <w:rFonts w:hint="eastAsia"/>
        </w:rPr>
        <w:t>GB/T 43808 植物提取物 术语</w:t>
      </w:r>
      <w:r>
        <w:rPr>
          <w:rFonts w:hint="eastAsia"/>
          <w:lang w:eastAsia="zh-CN"/>
        </w:rPr>
        <w:t>》</w:t>
      </w:r>
      <w:r>
        <w:rPr>
          <w:rFonts w:hint="eastAsia"/>
          <w:lang w:val="en-US" w:eastAsia="zh-CN"/>
        </w:rPr>
        <w:t>的</w:t>
      </w:r>
      <w:r>
        <w:rPr>
          <w:rFonts w:hint="eastAsia" w:ascii="仿宋" w:hAnsi="仿宋" w:eastAsia="仿宋" w:cs="Times New Roman"/>
          <w:sz w:val="24"/>
          <w:szCs w:val="24"/>
        </w:rPr>
        <w:t>相关要求，实现与上游原料标准有效衔接。在国际标准兼容性</w:t>
      </w:r>
      <w:r>
        <w:rPr>
          <w:rFonts w:hint="eastAsia" w:ascii="仿宋" w:hAnsi="仿宋" w:eastAsia="仿宋" w:cs="Times New Roman"/>
          <w:sz w:val="24"/>
          <w:szCs w:val="24"/>
          <w:lang w:val="en-US" w:eastAsia="zh-CN"/>
        </w:rPr>
        <w:t>上，</w:t>
      </w:r>
      <w:r>
        <w:rPr>
          <w:rFonts w:hint="eastAsia" w:ascii="仿宋" w:hAnsi="仿宋" w:eastAsia="仿宋" w:cs="Times New Roman"/>
          <w:sz w:val="24"/>
          <w:szCs w:val="24"/>
        </w:rPr>
        <w:t>检测重金属符合欧盟相关法规，多糖</w:t>
      </w:r>
      <w:r>
        <w:rPr>
          <w:rFonts w:hint="eastAsia" w:ascii="仿宋" w:hAnsi="仿宋" w:eastAsia="仿宋" w:cs="Times New Roman"/>
          <w:sz w:val="24"/>
          <w:szCs w:val="24"/>
          <w:lang w:val="en-US" w:eastAsia="zh-CN"/>
        </w:rPr>
        <w:t>含量</w:t>
      </w:r>
      <w:r>
        <w:rPr>
          <w:rFonts w:hint="eastAsia" w:ascii="仿宋" w:hAnsi="仿宋" w:eastAsia="仿宋" w:cs="Times New Roman"/>
          <w:sz w:val="24"/>
          <w:szCs w:val="24"/>
        </w:rPr>
        <w:t xml:space="preserve">与国际趋势接轨，可满足制药、化妆品等高端应用需求，确保标准体系科学统一、协调一致。 </w:t>
      </w:r>
    </w:p>
    <w:p w14:paraId="39A3DD34">
      <w:pPr>
        <w:spacing w:line="360" w:lineRule="auto"/>
        <w:ind w:firstLine="482" w:firstLineChars="200"/>
        <w:jc w:val="both"/>
        <w:rPr>
          <w:rFonts w:hint="eastAsia" w:ascii="仿宋" w:hAnsi="仿宋" w:eastAsia="仿宋" w:cs="Times New Roman"/>
          <w:b/>
          <w:bCs/>
          <w:sz w:val="24"/>
          <w:szCs w:val="24"/>
          <w:lang w:val="en-US" w:eastAsia="zh-CN"/>
        </w:rPr>
      </w:pPr>
      <w:r>
        <w:rPr>
          <w:rFonts w:hint="eastAsia" w:ascii="仿宋" w:hAnsi="仿宋" w:eastAsia="仿宋" w:cs="Times New Roman"/>
          <w:b/>
          <w:bCs/>
          <w:sz w:val="24"/>
          <w:szCs w:val="24"/>
          <w:lang w:val="en-US" w:eastAsia="zh-CN"/>
        </w:rPr>
        <w:t>4.适用性原则</w:t>
      </w:r>
    </w:p>
    <w:p w14:paraId="14DCA3C8">
      <w:pPr>
        <w:spacing w:line="360" w:lineRule="auto"/>
        <w:ind w:firstLine="480" w:firstLineChars="200"/>
        <w:jc w:val="both"/>
        <w:rPr>
          <w:rFonts w:hint="default" w:ascii="仿宋" w:hAnsi="仿宋" w:eastAsia="仿宋" w:cs="Times New Roman"/>
          <w:b w:val="0"/>
          <w:bCs w:val="0"/>
          <w:sz w:val="24"/>
          <w:szCs w:val="24"/>
          <w:lang w:val="en-US" w:eastAsia="zh-CN"/>
        </w:rPr>
      </w:pPr>
      <w:r>
        <w:rPr>
          <w:rFonts w:hint="default" w:ascii="仿宋" w:hAnsi="仿宋" w:eastAsia="仿宋" w:cs="Times New Roman"/>
          <w:sz w:val="24"/>
          <w:szCs w:val="24"/>
          <w:lang w:val="en-US" w:eastAsia="zh-CN"/>
        </w:rPr>
        <w:t>本标准</w:t>
      </w:r>
      <w:r>
        <w:rPr>
          <w:rFonts w:hint="eastAsia" w:ascii="仿宋" w:hAnsi="仿宋" w:eastAsia="仿宋" w:cs="Times New Roman"/>
          <w:sz w:val="24"/>
          <w:szCs w:val="24"/>
          <w:lang w:val="en-US" w:eastAsia="zh-CN"/>
        </w:rPr>
        <w:t>用于规范和</w:t>
      </w:r>
      <w:r>
        <w:rPr>
          <w:rFonts w:hint="default" w:ascii="仿宋" w:hAnsi="仿宋" w:eastAsia="仿宋" w:cs="Times New Roman"/>
          <w:sz w:val="24"/>
          <w:szCs w:val="24"/>
          <w:lang w:val="en-US" w:eastAsia="zh-CN"/>
        </w:rPr>
        <w:t>指导</w:t>
      </w:r>
      <w:r>
        <w:rPr>
          <w:rFonts w:hint="eastAsia" w:ascii="仿宋" w:hAnsi="仿宋" w:eastAsia="仿宋" w:cs="Times New Roman"/>
          <w:sz w:val="24"/>
          <w:szCs w:val="24"/>
          <w:lang w:val="en-US" w:eastAsia="zh-CN"/>
        </w:rPr>
        <w:t>蛹虫草多糖生产</w:t>
      </w:r>
      <w:r>
        <w:rPr>
          <w:rFonts w:hint="default" w:ascii="仿宋" w:hAnsi="仿宋" w:eastAsia="仿宋" w:cs="Times New Roman"/>
          <w:sz w:val="24"/>
          <w:szCs w:val="24"/>
          <w:lang w:val="en-US" w:eastAsia="zh-CN"/>
        </w:rPr>
        <w:t>，在质量控制和技术手段上与国际接轨，各生产环节的技术参数、方法设置、质量要求、控制指标等技术要求</w:t>
      </w:r>
      <w:r>
        <w:rPr>
          <w:rFonts w:hint="eastAsia" w:ascii="仿宋" w:hAnsi="仿宋" w:eastAsia="仿宋" w:cs="Times New Roman"/>
          <w:sz w:val="24"/>
          <w:szCs w:val="24"/>
          <w:lang w:val="en-US" w:eastAsia="zh-CN"/>
        </w:rPr>
        <w:t>符合</w:t>
      </w:r>
      <w:r>
        <w:rPr>
          <w:rFonts w:hint="default" w:ascii="仿宋" w:hAnsi="仿宋" w:eastAsia="仿宋" w:cs="Times New Roman"/>
          <w:sz w:val="24"/>
          <w:szCs w:val="24"/>
          <w:lang w:val="en-US" w:eastAsia="zh-CN"/>
        </w:rPr>
        <w:t>我国大部分植物提取物企业的生产</w:t>
      </w:r>
      <w:r>
        <w:rPr>
          <w:rFonts w:hint="eastAsia" w:ascii="仿宋" w:hAnsi="仿宋" w:eastAsia="仿宋" w:cs="Times New Roman"/>
          <w:sz w:val="24"/>
          <w:szCs w:val="24"/>
          <w:lang w:val="en-US" w:eastAsia="zh-CN"/>
        </w:rPr>
        <w:t>实际，标准技术内容</w:t>
      </w:r>
      <w:r>
        <w:rPr>
          <w:rFonts w:hint="default" w:ascii="仿宋" w:hAnsi="仿宋" w:eastAsia="仿宋" w:cs="Times New Roman"/>
          <w:sz w:val="24"/>
          <w:szCs w:val="24"/>
          <w:lang w:val="en-US" w:eastAsia="zh-CN"/>
        </w:rPr>
        <w:t>所采用的装置操作简便，能够满足国内相关单位的条件要求</w:t>
      </w:r>
      <w:r>
        <w:rPr>
          <w:rFonts w:hint="eastAsia" w:ascii="仿宋" w:hAnsi="仿宋" w:eastAsia="仿宋" w:cs="Times New Roman"/>
          <w:sz w:val="24"/>
          <w:szCs w:val="24"/>
          <w:lang w:val="en-US" w:eastAsia="zh-CN"/>
        </w:rPr>
        <w:t>，内容表述应便于理解，易于操作，方法</w:t>
      </w:r>
      <w:r>
        <w:rPr>
          <w:rFonts w:hint="default" w:ascii="仿宋" w:hAnsi="仿宋" w:eastAsia="仿宋" w:cs="Times New Roman"/>
          <w:sz w:val="24"/>
          <w:szCs w:val="24"/>
          <w:lang w:val="en-US" w:eastAsia="zh-CN"/>
        </w:rPr>
        <w:t>稳定、可靠和实用</w:t>
      </w:r>
      <w:r>
        <w:rPr>
          <w:rFonts w:hint="eastAsia" w:ascii="仿宋" w:hAnsi="仿宋" w:eastAsia="仿宋" w:cs="Times New Roman"/>
          <w:sz w:val="24"/>
          <w:szCs w:val="24"/>
          <w:lang w:val="en-US" w:eastAsia="zh-CN"/>
        </w:rPr>
        <w:t>，</w:t>
      </w:r>
      <w:r>
        <w:rPr>
          <w:rFonts w:hint="default" w:ascii="仿宋" w:hAnsi="仿宋" w:eastAsia="仿宋" w:cs="Times New Roman"/>
          <w:sz w:val="24"/>
          <w:szCs w:val="24"/>
          <w:lang w:val="en-US" w:eastAsia="zh-CN"/>
        </w:rPr>
        <w:t>适应我国植物提取物产品质控与管理的需要。</w:t>
      </w:r>
    </w:p>
    <w:p w14:paraId="2CD74EBF">
      <w:pPr>
        <w:spacing w:line="360" w:lineRule="auto"/>
        <w:ind w:firstLine="480" w:firstLineChars="200"/>
        <w:jc w:val="both"/>
        <w:rPr>
          <w:rFonts w:ascii="楷体" w:hAnsi="楷体" w:eastAsia="楷体"/>
          <w:sz w:val="24"/>
          <w:szCs w:val="24"/>
        </w:rPr>
      </w:pPr>
      <w:r>
        <w:rPr>
          <w:rFonts w:hint="eastAsia" w:ascii="楷体" w:hAnsi="楷体" w:eastAsia="楷体"/>
          <w:sz w:val="24"/>
          <w:szCs w:val="24"/>
        </w:rPr>
        <w:t>（二）主要内容及其确定依据</w:t>
      </w:r>
    </w:p>
    <w:p w14:paraId="2C3C9FE3">
      <w:pPr>
        <w:spacing w:line="360" w:lineRule="auto"/>
        <w:ind w:firstLine="482" w:firstLineChars="200"/>
        <w:rPr>
          <w:rFonts w:hint="eastAsia" w:ascii="仿宋" w:hAnsi="仿宋" w:eastAsia="仿宋" w:cs="Times New Roman"/>
          <w:b/>
          <w:bCs/>
          <w:sz w:val="24"/>
          <w:szCs w:val="24"/>
        </w:rPr>
      </w:pPr>
      <w:r>
        <w:rPr>
          <w:rFonts w:hint="eastAsia" w:ascii="仿宋" w:hAnsi="仿宋" w:eastAsia="仿宋" w:cs="Times New Roman"/>
          <w:b/>
          <w:bCs/>
          <w:sz w:val="24"/>
          <w:szCs w:val="24"/>
        </w:rPr>
        <w:t>1.主要内容</w:t>
      </w:r>
    </w:p>
    <w:p w14:paraId="2337091C">
      <w:pPr>
        <w:spacing w:line="360" w:lineRule="auto"/>
        <w:ind w:firstLine="480" w:firstLineChars="200"/>
        <w:jc w:val="both"/>
        <w:rPr>
          <w:rFonts w:hint="eastAsia" w:ascii="仿宋" w:hAnsi="仿宋" w:eastAsia="仿宋" w:cs="Times New Roman"/>
          <w:sz w:val="24"/>
          <w:szCs w:val="24"/>
        </w:rPr>
      </w:pPr>
      <w:r>
        <w:rPr>
          <w:rFonts w:hint="eastAsia" w:ascii="仿宋" w:hAnsi="仿宋" w:eastAsia="仿宋" w:cs="Times New Roman"/>
          <w:sz w:val="24"/>
          <w:szCs w:val="24"/>
        </w:rPr>
        <w:t>本标准共有</w:t>
      </w:r>
      <w:r>
        <w:rPr>
          <w:rFonts w:hint="eastAsia" w:ascii="仿宋" w:hAnsi="仿宋" w:eastAsia="仿宋" w:cs="Times New Roman"/>
          <w:sz w:val="24"/>
          <w:szCs w:val="24"/>
          <w:lang w:val="en-US" w:eastAsia="zh-CN"/>
        </w:rPr>
        <w:t>11</w:t>
      </w:r>
      <w:r>
        <w:rPr>
          <w:rFonts w:hint="eastAsia" w:ascii="仿宋" w:hAnsi="仿宋" w:eastAsia="仿宋" w:cs="Times New Roman"/>
          <w:sz w:val="24"/>
          <w:szCs w:val="24"/>
        </w:rPr>
        <w:t>章，</w:t>
      </w:r>
      <w:r>
        <w:rPr>
          <w:rFonts w:hint="eastAsia" w:ascii="仿宋" w:hAnsi="仿宋" w:eastAsia="仿宋" w:cs="Times New Roman"/>
          <w:sz w:val="24"/>
          <w:szCs w:val="24"/>
          <w:lang w:val="en-US" w:eastAsia="zh-CN"/>
        </w:rPr>
        <w:t>为</w:t>
      </w:r>
      <w:r>
        <w:rPr>
          <w:rFonts w:hint="eastAsia" w:ascii="仿宋" w:hAnsi="仿宋" w:eastAsia="仿宋" w:cs="Times New Roman"/>
          <w:sz w:val="24"/>
          <w:szCs w:val="24"/>
        </w:rPr>
        <w:t>蛹虫草多糖生产的原料与辅料、生产流程、质量要求及检测、检验规则、标志、标签、包装、运输、贮存、废弃物处理和档案管理</w:t>
      </w:r>
      <w:r>
        <w:rPr>
          <w:rFonts w:hint="eastAsia" w:ascii="仿宋" w:hAnsi="仿宋" w:eastAsia="仿宋" w:cs="Times New Roman"/>
          <w:sz w:val="24"/>
          <w:szCs w:val="24"/>
        </w:rPr>
        <w:t>等内容。</w:t>
      </w:r>
    </w:p>
    <w:p w14:paraId="70E8AAA7">
      <w:pPr>
        <w:spacing w:line="360" w:lineRule="auto"/>
        <w:ind w:firstLine="480" w:firstLineChars="200"/>
        <w:jc w:val="both"/>
        <w:rPr>
          <w:rFonts w:hint="eastAsia" w:ascii="仿宋" w:hAnsi="仿宋" w:eastAsia="仿宋" w:cs="Times New Roman"/>
          <w:sz w:val="24"/>
          <w:szCs w:val="24"/>
        </w:rPr>
      </w:pPr>
      <w:r>
        <w:rPr>
          <w:rFonts w:hint="eastAsia" w:ascii="仿宋" w:hAnsi="仿宋" w:eastAsia="仿宋" w:cs="Times New Roman"/>
          <w:sz w:val="24"/>
          <w:szCs w:val="24"/>
        </w:rPr>
        <w:t>（1）范围。适用于以蛹虫草为原料，经冻干、粉碎、提取醇沉、浓缩、干燥等工序生产蛹虫草多糖的生产工艺和质量控制过程。</w:t>
      </w:r>
    </w:p>
    <w:p w14:paraId="322A9A3F">
      <w:pPr>
        <w:spacing w:line="360" w:lineRule="auto"/>
        <w:ind w:firstLine="480" w:firstLineChars="200"/>
        <w:jc w:val="both"/>
        <w:rPr>
          <w:rFonts w:hint="default" w:ascii="仿宋" w:hAnsi="仿宋" w:eastAsia="仿宋" w:cs="Times New Roman"/>
          <w:sz w:val="24"/>
          <w:szCs w:val="24"/>
          <w:lang w:val="en-US" w:eastAsia="zh-CN"/>
        </w:rPr>
      </w:pPr>
      <w:r>
        <w:rPr>
          <w:rFonts w:hint="eastAsia" w:ascii="仿宋" w:hAnsi="仿宋" w:eastAsia="仿宋" w:cs="Times New Roman"/>
          <w:sz w:val="24"/>
          <w:szCs w:val="24"/>
        </w:rPr>
        <w:t>（2）规范性引用文件。本标准引用了GB 7096 食品安全国家标准</w:t>
      </w:r>
      <w:r>
        <w:rPr>
          <w:rFonts w:hint="eastAsia" w:ascii="仿宋" w:hAnsi="仿宋" w:eastAsia="仿宋" w:cs="Times New Roman"/>
          <w:sz w:val="24"/>
          <w:szCs w:val="24"/>
          <w:lang w:eastAsia="zh-CN"/>
        </w:rPr>
        <w:t>《</w:t>
      </w:r>
      <w:r>
        <w:rPr>
          <w:rFonts w:hint="eastAsia" w:ascii="仿宋" w:hAnsi="仿宋" w:eastAsia="仿宋" w:cs="Times New Roman"/>
          <w:sz w:val="24"/>
          <w:szCs w:val="24"/>
        </w:rPr>
        <w:t>食用菌及其制品</w:t>
      </w:r>
      <w:r>
        <w:rPr>
          <w:rFonts w:hint="eastAsia" w:ascii="仿宋" w:hAnsi="仿宋" w:eastAsia="仿宋" w:cs="Times New Roman"/>
          <w:sz w:val="24"/>
          <w:szCs w:val="24"/>
          <w:lang w:eastAsia="zh-CN"/>
        </w:rPr>
        <w:t>》、</w:t>
      </w:r>
      <w:r>
        <w:rPr>
          <w:rFonts w:hint="eastAsia" w:ascii="仿宋" w:hAnsi="仿宋" w:eastAsia="仿宋" w:cs="Times New Roman"/>
          <w:sz w:val="24"/>
          <w:szCs w:val="24"/>
        </w:rPr>
        <w:t>GB 7718 食品安全国家标准</w:t>
      </w:r>
      <w:r>
        <w:rPr>
          <w:rFonts w:hint="eastAsia" w:ascii="仿宋" w:hAnsi="仿宋" w:eastAsia="仿宋" w:cs="Times New Roman"/>
          <w:sz w:val="24"/>
          <w:szCs w:val="24"/>
          <w:lang w:eastAsia="zh-CN"/>
        </w:rPr>
        <w:t>《</w:t>
      </w:r>
      <w:r>
        <w:rPr>
          <w:rFonts w:hint="eastAsia" w:ascii="仿宋" w:hAnsi="仿宋" w:eastAsia="仿宋" w:cs="Times New Roman"/>
          <w:sz w:val="24"/>
          <w:szCs w:val="24"/>
        </w:rPr>
        <w:t>预包装食品标签通则</w:t>
      </w:r>
      <w:r>
        <w:rPr>
          <w:rFonts w:hint="eastAsia" w:ascii="仿宋" w:hAnsi="仿宋" w:eastAsia="仿宋" w:cs="Times New Roman"/>
          <w:sz w:val="24"/>
          <w:szCs w:val="24"/>
          <w:lang w:eastAsia="zh-CN"/>
        </w:rPr>
        <w:t>》、</w:t>
      </w:r>
      <w:r>
        <w:rPr>
          <w:rFonts w:hint="eastAsia" w:ascii="仿宋" w:hAnsi="仿宋" w:eastAsia="仿宋" w:cs="Times New Roman"/>
          <w:sz w:val="24"/>
          <w:szCs w:val="24"/>
        </w:rPr>
        <w:t>GB 16740 食品安全国家标准</w:t>
      </w:r>
      <w:r>
        <w:rPr>
          <w:rFonts w:hint="eastAsia" w:ascii="仿宋" w:hAnsi="仿宋" w:eastAsia="仿宋" w:cs="Times New Roman"/>
          <w:sz w:val="24"/>
          <w:szCs w:val="24"/>
          <w:lang w:eastAsia="zh-CN"/>
        </w:rPr>
        <w:t>《</w:t>
      </w:r>
      <w:r>
        <w:rPr>
          <w:rFonts w:hint="eastAsia" w:ascii="仿宋" w:hAnsi="仿宋" w:eastAsia="仿宋" w:cs="Times New Roman"/>
          <w:sz w:val="24"/>
          <w:szCs w:val="24"/>
        </w:rPr>
        <w:t>保健食品</w:t>
      </w:r>
      <w:r>
        <w:rPr>
          <w:rFonts w:hint="eastAsia" w:ascii="仿宋" w:hAnsi="仿宋" w:eastAsia="仿宋" w:cs="Times New Roman"/>
          <w:sz w:val="24"/>
          <w:szCs w:val="24"/>
          <w:lang w:eastAsia="zh-CN"/>
        </w:rPr>
        <w:t>》、《</w:t>
      </w:r>
      <w:r>
        <w:rPr>
          <w:rFonts w:hint="eastAsia" w:ascii="仿宋" w:hAnsi="仿宋" w:eastAsia="仿宋" w:cs="Times New Roman"/>
          <w:sz w:val="24"/>
          <w:szCs w:val="24"/>
        </w:rPr>
        <w:t>GB/T 191 包装储运图示标志</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以及《</w:t>
      </w:r>
      <w:r>
        <w:rPr>
          <w:rFonts w:hint="eastAsia" w:ascii="仿宋" w:hAnsi="仿宋" w:eastAsia="仿宋" w:cs="Times New Roman"/>
          <w:sz w:val="24"/>
          <w:szCs w:val="24"/>
        </w:rPr>
        <w:t>QB/T 8147 食用菌多糖</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等30个标准。</w:t>
      </w:r>
    </w:p>
    <w:p w14:paraId="2BE5E317">
      <w:pPr>
        <w:spacing w:line="360" w:lineRule="auto"/>
        <w:ind w:firstLine="480" w:firstLineChars="200"/>
        <w:jc w:val="both"/>
        <w:rPr>
          <w:rFonts w:hint="eastAsia" w:ascii="仿宋" w:hAnsi="仿宋" w:eastAsia="仿宋" w:cs="Times New Roman"/>
          <w:color w:val="auto"/>
          <w:sz w:val="24"/>
          <w:szCs w:val="24"/>
          <w:lang w:val="en-US" w:eastAsia="zh-CN"/>
        </w:rPr>
      </w:pPr>
      <w:r>
        <w:rPr>
          <w:rFonts w:hint="eastAsia" w:ascii="仿宋" w:hAnsi="仿宋" w:eastAsia="仿宋" w:cs="Times New Roman"/>
          <w:sz w:val="24"/>
          <w:szCs w:val="24"/>
        </w:rPr>
        <w:t>（3）术语和定义。</w:t>
      </w:r>
      <w:r>
        <w:rPr>
          <w:rFonts w:hint="eastAsia" w:ascii="仿宋" w:hAnsi="仿宋" w:eastAsia="仿宋" w:cs="Times New Roman"/>
          <w:color w:val="auto"/>
          <w:sz w:val="24"/>
          <w:szCs w:val="24"/>
          <w:lang w:val="en-US" w:eastAsia="zh-CN"/>
        </w:rPr>
        <w:t>直接参照</w:t>
      </w:r>
      <w:r>
        <w:rPr>
          <w:rFonts w:hint="eastAsia" w:ascii="仿宋" w:hAnsi="仿宋" w:eastAsia="仿宋" w:cs="Times New Roman"/>
          <w:color w:val="auto"/>
          <w:sz w:val="24"/>
          <w:szCs w:val="24"/>
        </w:rPr>
        <w:t>国家标准《GB/T 43808</w:t>
      </w:r>
      <w:r>
        <w:rPr>
          <w:rFonts w:hint="eastAsia" w:ascii="仿宋" w:hAnsi="仿宋" w:eastAsia="仿宋" w:cs="Times New Roman"/>
          <w:color w:val="auto"/>
          <w:sz w:val="24"/>
          <w:szCs w:val="24"/>
          <w:lang w:eastAsia="zh-CN"/>
        </w:rPr>
        <w:t>《</w:t>
      </w:r>
      <w:r>
        <w:rPr>
          <w:rFonts w:hint="eastAsia" w:ascii="仿宋" w:hAnsi="仿宋" w:eastAsia="仿宋" w:cs="Times New Roman"/>
          <w:color w:val="auto"/>
          <w:sz w:val="24"/>
          <w:szCs w:val="24"/>
        </w:rPr>
        <w:t>提取物术语</w:t>
      </w:r>
      <w:r>
        <w:rPr>
          <w:rFonts w:hint="eastAsia" w:ascii="仿宋" w:hAnsi="仿宋" w:eastAsia="仿宋" w:cs="Times New Roman"/>
          <w:color w:val="auto"/>
          <w:sz w:val="24"/>
          <w:szCs w:val="24"/>
          <w:lang w:eastAsia="zh-CN"/>
        </w:rPr>
        <w:t>》</w:t>
      </w:r>
      <w:r>
        <w:rPr>
          <w:rFonts w:hint="eastAsia" w:ascii="仿宋" w:hAnsi="仿宋" w:eastAsia="仿宋" w:cs="Times New Roman"/>
          <w:color w:val="auto"/>
          <w:sz w:val="24"/>
          <w:szCs w:val="24"/>
          <w:lang w:val="en-US" w:eastAsia="zh-CN"/>
        </w:rPr>
        <w:t>界定的术语和定义。</w:t>
      </w:r>
    </w:p>
    <w:p w14:paraId="41FDAB69">
      <w:pPr>
        <w:spacing w:line="360" w:lineRule="auto"/>
        <w:ind w:firstLine="480" w:firstLineChars="200"/>
        <w:rPr>
          <w:rFonts w:hint="default" w:ascii="仿宋" w:hAnsi="仿宋" w:eastAsia="仿宋" w:cs="Times New Roman"/>
          <w:sz w:val="24"/>
          <w:szCs w:val="24"/>
          <w:lang w:val="en-US" w:eastAsia="zh-CN"/>
        </w:rPr>
      </w:pPr>
      <w:r>
        <w:rPr>
          <w:rFonts w:hint="eastAsia" w:ascii="仿宋" w:hAnsi="仿宋" w:eastAsia="仿宋" w:cs="Times New Roman"/>
          <w:sz w:val="24"/>
          <w:szCs w:val="24"/>
        </w:rPr>
        <w:t>（4）原料与介质</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对生产过程中的原料、提取介质以及生产用水给出参照标准和要求。</w:t>
      </w:r>
    </w:p>
    <w:p w14:paraId="38C64A6F">
      <w:pPr>
        <w:spacing w:line="360" w:lineRule="auto"/>
        <w:ind w:firstLine="480" w:firstLineChars="200"/>
        <w:jc w:val="both"/>
        <w:rPr>
          <w:rFonts w:hint="eastAsia" w:ascii="仿宋" w:hAnsi="仿宋" w:eastAsia="仿宋" w:cs="Times New Roman"/>
          <w:sz w:val="24"/>
          <w:szCs w:val="24"/>
        </w:rPr>
      </w:pP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5</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多糖</w:t>
      </w:r>
      <w:r>
        <w:rPr>
          <w:rFonts w:hint="eastAsia" w:ascii="仿宋" w:hAnsi="仿宋" w:eastAsia="仿宋" w:cs="Times New Roman"/>
          <w:sz w:val="24"/>
          <w:szCs w:val="24"/>
        </w:rPr>
        <w:t>生产。以</w:t>
      </w:r>
      <w:r>
        <w:rPr>
          <w:rFonts w:hint="eastAsia" w:ascii="仿宋" w:hAnsi="仿宋" w:eastAsia="仿宋" w:cs="Times New Roman"/>
          <w:sz w:val="24"/>
          <w:szCs w:val="24"/>
          <w:lang w:val="en-US" w:eastAsia="zh-CN"/>
        </w:rPr>
        <w:t>流程图</w:t>
      </w:r>
      <w:r>
        <w:rPr>
          <w:rFonts w:hint="eastAsia" w:ascii="仿宋" w:hAnsi="仿宋" w:eastAsia="仿宋" w:cs="Times New Roman"/>
          <w:sz w:val="24"/>
          <w:szCs w:val="24"/>
        </w:rPr>
        <w:t>方式，给出了</w:t>
      </w:r>
      <w:r>
        <w:rPr>
          <w:rFonts w:hint="eastAsia" w:ascii="仿宋" w:hAnsi="仿宋" w:eastAsia="仿宋" w:cs="Times New Roman"/>
          <w:sz w:val="24"/>
          <w:szCs w:val="24"/>
          <w:lang w:val="en-US" w:eastAsia="zh-CN"/>
        </w:rPr>
        <w:t>蛹虫草多糖生产的6</w:t>
      </w:r>
      <w:r>
        <w:rPr>
          <w:rFonts w:hint="eastAsia" w:ascii="仿宋" w:hAnsi="仿宋" w:eastAsia="仿宋" w:cs="Times New Roman"/>
          <w:sz w:val="24"/>
          <w:szCs w:val="24"/>
        </w:rPr>
        <w:t>个环节，分别是</w:t>
      </w:r>
      <w:r>
        <w:rPr>
          <w:rFonts w:hint="eastAsia" w:ascii="仿宋" w:hAnsi="仿宋" w:eastAsia="仿宋" w:cs="Times New Roman"/>
          <w:sz w:val="24"/>
          <w:szCs w:val="24"/>
          <w:lang w:val="en-US" w:eastAsia="zh-CN"/>
        </w:rPr>
        <w:t>前</w:t>
      </w:r>
      <w:r>
        <w:rPr>
          <w:rFonts w:hint="eastAsia" w:ascii="仿宋" w:hAnsi="仿宋" w:eastAsia="仿宋" w:cs="Times New Roman"/>
          <w:sz w:val="24"/>
          <w:szCs w:val="24"/>
        </w:rPr>
        <w:t>处理</w:t>
      </w:r>
      <w:r>
        <w:rPr>
          <w:rFonts w:hint="eastAsia" w:ascii="仿宋" w:hAnsi="仿宋" w:eastAsia="仿宋" w:cs="Times New Roman"/>
          <w:sz w:val="24"/>
          <w:szCs w:val="24"/>
          <w:lang w:eastAsia="zh-CN"/>
        </w:rPr>
        <w:t>、</w:t>
      </w:r>
      <w:r>
        <w:rPr>
          <w:rFonts w:hint="eastAsia" w:ascii="仿宋" w:hAnsi="仿宋" w:eastAsia="仿宋" w:cs="Times New Roman"/>
          <w:sz w:val="24"/>
          <w:szCs w:val="24"/>
        </w:rPr>
        <w:t>提取</w:t>
      </w:r>
      <w:r>
        <w:rPr>
          <w:rFonts w:hint="eastAsia" w:ascii="仿宋" w:hAnsi="仿宋" w:eastAsia="仿宋" w:cs="Times New Roman"/>
          <w:sz w:val="24"/>
          <w:szCs w:val="24"/>
          <w:lang w:eastAsia="zh-CN"/>
        </w:rPr>
        <w:t>、</w:t>
      </w:r>
      <w:r>
        <w:rPr>
          <w:rFonts w:hint="eastAsia" w:ascii="仿宋" w:hAnsi="仿宋" w:eastAsia="仿宋" w:cs="Times New Roman"/>
          <w:sz w:val="24"/>
          <w:szCs w:val="24"/>
        </w:rPr>
        <w:t>浓缩</w:t>
      </w:r>
      <w:r>
        <w:rPr>
          <w:rFonts w:hint="eastAsia" w:ascii="仿宋" w:hAnsi="仿宋" w:eastAsia="仿宋" w:cs="Times New Roman"/>
          <w:sz w:val="24"/>
          <w:szCs w:val="24"/>
          <w:lang w:eastAsia="zh-CN"/>
        </w:rPr>
        <w:t>、</w:t>
      </w:r>
      <w:r>
        <w:rPr>
          <w:rFonts w:hint="eastAsia" w:ascii="仿宋" w:hAnsi="仿宋" w:eastAsia="仿宋" w:cs="Times New Roman"/>
          <w:sz w:val="24"/>
          <w:szCs w:val="24"/>
        </w:rPr>
        <w:t>醇提</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灭菌、</w:t>
      </w:r>
      <w:r>
        <w:rPr>
          <w:rFonts w:hint="eastAsia" w:ascii="仿宋" w:hAnsi="仿宋" w:eastAsia="仿宋" w:cs="Times New Roman"/>
          <w:sz w:val="24"/>
          <w:szCs w:val="24"/>
        </w:rPr>
        <w:t>干燥。</w:t>
      </w:r>
      <w:bookmarkStart w:id="11" w:name="_Toc228343453"/>
    </w:p>
    <w:p w14:paraId="07DB4EEF">
      <w:pPr>
        <w:spacing w:line="360" w:lineRule="auto"/>
        <w:ind w:firstLine="480" w:firstLineChars="200"/>
        <w:jc w:val="both"/>
        <w:rPr>
          <w:rFonts w:hint="default" w:ascii="仿宋" w:hAnsi="仿宋" w:eastAsia="仿宋" w:cs="Times New Roman"/>
          <w:sz w:val="24"/>
          <w:szCs w:val="24"/>
          <w:lang w:val="en-US" w:eastAsia="zh-CN"/>
        </w:rPr>
      </w:pP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6</w:t>
      </w:r>
      <w:r>
        <w:rPr>
          <w:rFonts w:hint="eastAsia" w:ascii="仿宋" w:hAnsi="仿宋" w:eastAsia="仿宋" w:cs="Times New Roman"/>
          <w:sz w:val="24"/>
          <w:szCs w:val="24"/>
          <w:lang w:eastAsia="zh-CN"/>
        </w:rPr>
        <w:t>）质量要求及检测</w:t>
      </w:r>
      <w:bookmarkEnd w:id="11"/>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确定了感官指标3个及测定方法，理化指标4项及测定方法和标准，安全性指标12项及测定方法和标准。</w:t>
      </w:r>
    </w:p>
    <w:p w14:paraId="590F5C29">
      <w:pPr>
        <w:spacing w:line="360" w:lineRule="auto"/>
        <w:ind w:firstLine="480" w:firstLineChars="200"/>
        <w:jc w:val="both"/>
        <w:rPr>
          <w:rFonts w:hint="default" w:ascii="仿宋" w:hAnsi="仿宋" w:eastAsia="仿宋" w:cs="Times New Roman"/>
          <w:sz w:val="24"/>
          <w:szCs w:val="24"/>
          <w:lang w:val="en-US" w:eastAsia="zh-CN"/>
        </w:rPr>
      </w:pP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7</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检验规则，明确了蛹虫草多糖抽检取样、检验分类及判定规则。</w:t>
      </w:r>
    </w:p>
    <w:p w14:paraId="6C86303D">
      <w:pPr>
        <w:spacing w:line="360" w:lineRule="auto"/>
        <w:ind w:firstLine="480" w:firstLineChars="200"/>
        <w:jc w:val="both"/>
        <w:rPr>
          <w:rFonts w:hint="eastAsia" w:ascii="仿宋" w:hAnsi="仿宋" w:eastAsia="仿宋" w:cs="Times New Roman"/>
          <w:sz w:val="24"/>
          <w:szCs w:val="24"/>
          <w:lang w:val="en-US" w:eastAsia="zh-CN"/>
        </w:rPr>
      </w:pP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8</w:t>
      </w:r>
      <w:r>
        <w:rPr>
          <w:rFonts w:hint="eastAsia" w:ascii="仿宋" w:hAnsi="仿宋" w:eastAsia="仿宋" w:cs="Times New Roman"/>
          <w:sz w:val="24"/>
          <w:szCs w:val="24"/>
          <w:lang w:eastAsia="zh-CN"/>
        </w:rPr>
        <w:t>）</w:t>
      </w:r>
      <w:bookmarkStart w:id="12" w:name="_Toc228343462"/>
      <w:r>
        <w:rPr>
          <w:rFonts w:hint="eastAsia" w:ascii="仿宋" w:hAnsi="仿宋" w:eastAsia="仿宋" w:cs="Times New Roman"/>
          <w:sz w:val="24"/>
          <w:szCs w:val="24"/>
          <w:lang w:eastAsia="zh-CN"/>
        </w:rPr>
        <w:t>标志、标签、包装、运输</w:t>
      </w:r>
      <w:bookmarkEnd w:id="12"/>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明确了蛹虫草多糖产品包装标志、标签的要求以及包装、运输的规范。</w:t>
      </w:r>
    </w:p>
    <w:p w14:paraId="29BC4D4C">
      <w:pPr>
        <w:spacing w:line="360" w:lineRule="auto"/>
        <w:ind w:firstLine="480" w:firstLineChars="200"/>
        <w:jc w:val="both"/>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（9）</w:t>
      </w:r>
      <w:bookmarkStart w:id="13" w:name="_Toc228343466"/>
      <w:r>
        <w:rPr>
          <w:rFonts w:hint="eastAsia" w:ascii="仿宋" w:hAnsi="仿宋" w:eastAsia="仿宋" w:cs="Times New Roman"/>
          <w:sz w:val="24"/>
          <w:szCs w:val="24"/>
          <w:lang w:eastAsia="zh-CN"/>
        </w:rPr>
        <w:t>贮存</w:t>
      </w:r>
      <w:bookmarkEnd w:id="13"/>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明确了蛹虫草多糖贮存的环境条件。</w:t>
      </w:r>
    </w:p>
    <w:p w14:paraId="1C20830D">
      <w:pPr>
        <w:spacing w:line="360" w:lineRule="auto"/>
        <w:ind w:firstLine="480" w:firstLineChars="200"/>
        <w:jc w:val="both"/>
        <w:rPr>
          <w:rFonts w:hint="eastAsia" w:ascii="仿宋" w:hAnsi="仿宋" w:eastAsia="仿宋" w:cs="Times New Roman"/>
          <w:sz w:val="24"/>
          <w:szCs w:val="24"/>
        </w:rPr>
      </w:pP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10</w:t>
      </w:r>
      <w:r>
        <w:rPr>
          <w:rFonts w:hint="eastAsia" w:ascii="仿宋" w:hAnsi="仿宋" w:eastAsia="仿宋" w:cs="Times New Roman"/>
          <w:sz w:val="24"/>
          <w:szCs w:val="24"/>
          <w:lang w:eastAsia="zh-CN"/>
        </w:rPr>
        <w:t>）</w:t>
      </w:r>
      <w:r>
        <w:rPr>
          <w:rFonts w:hint="eastAsia" w:ascii="仿宋" w:hAnsi="仿宋" w:eastAsia="仿宋" w:cs="Times New Roman"/>
          <w:sz w:val="24"/>
          <w:szCs w:val="24"/>
        </w:rPr>
        <w:t>废弃物处理。规定了</w:t>
      </w:r>
      <w:r>
        <w:rPr>
          <w:rFonts w:hint="eastAsia" w:ascii="仿宋" w:hAnsi="仿宋" w:eastAsia="仿宋" w:cs="Times New Roman"/>
          <w:sz w:val="24"/>
          <w:szCs w:val="24"/>
          <w:lang w:val="en-US" w:eastAsia="zh-CN"/>
        </w:rPr>
        <w:t>多糖</w:t>
      </w:r>
      <w:r>
        <w:rPr>
          <w:rFonts w:hint="eastAsia" w:ascii="仿宋" w:hAnsi="仿宋" w:eastAsia="仿宋" w:cs="Times New Roman"/>
          <w:sz w:val="24"/>
          <w:szCs w:val="24"/>
        </w:rPr>
        <w:t>生产过程产生的废弃物应进行无害化或资源化处理的要求。</w:t>
      </w:r>
    </w:p>
    <w:p w14:paraId="1284C518">
      <w:pPr>
        <w:spacing w:line="360" w:lineRule="auto"/>
        <w:ind w:firstLine="480" w:firstLineChars="200"/>
        <w:jc w:val="both"/>
        <w:rPr>
          <w:rFonts w:hint="eastAsia" w:ascii="仿宋" w:hAnsi="仿宋" w:eastAsia="仿宋" w:cs="Times New Roman"/>
          <w:sz w:val="24"/>
          <w:szCs w:val="24"/>
        </w:rPr>
      </w:pPr>
      <w:r>
        <w:rPr>
          <w:rFonts w:hint="eastAsia" w:ascii="仿宋" w:hAnsi="仿宋" w:eastAsia="仿宋" w:cs="Times New Roman"/>
          <w:sz w:val="24"/>
          <w:szCs w:val="24"/>
        </w:rPr>
        <w:t>（</w:t>
      </w:r>
      <w:r>
        <w:rPr>
          <w:rFonts w:hint="eastAsia" w:ascii="仿宋" w:hAnsi="仿宋" w:eastAsia="仿宋" w:cs="Times New Roman"/>
          <w:sz w:val="24"/>
          <w:szCs w:val="24"/>
          <w:lang w:val="en-US" w:eastAsia="zh-CN"/>
        </w:rPr>
        <w:t>11</w:t>
      </w:r>
      <w:r>
        <w:rPr>
          <w:rFonts w:hint="eastAsia" w:ascii="仿宋" w:hAnsi="仿宋" w:eastAsia="仿宋" w:cs="Times New Roman"/>
          <w:sz w:val="24"/>
          <w:szCs w:val="24"/>
        </w:rPr>
        <w:t>）生产记录和档案管理。规定了</w:t>
      </w:r>
      <w:r>
        <w:rPr>
          <w:rFonts w:hint="eastAsia" w:ascii="仿宋" w:hAnsi="仿宋" w:eastAsia="仿宋" w:cs="Times New Roman"/>
          <w:sz w:val="24"/>
          <w:szCs w:val="24"/>
          <w:lang w:val="en-US" w:eastAsia="zh-CN"/>
        </w:rPr>
        <w:t>多糖</w:t>
      </w:r>
      <w:r>
        <w:rPr>
          <w:rFonts w:hint="eastAsia" w:ascii="仿宋" w:hAnsi="仿宋" w:eastAsia="仿宋" w:cs="Times New Roman"/>
          <w:sz w:val="24"/>
          <w:szCs w:val="24"/>
        </w:rPr>
        <w:t>生产过程各环节记录的要求和档案内容及保存期限的要求。</w:t>
      </w:r>
    </w:p>
    <w:p w14:paraId="62CA18BE">
      <w:pPr>
        <w:spacing w:line="360" w:lineRule="auto"/>
        <w:ind w:firstLine="482" w:firstLineChars="200"/>
        <w:rPr>
          <w:rFonts w:hint="eastAsia" w:ascii="仿宋" w:hAnsi="仿宋" w:eastAsia="仿宋" w:cs="Times New Roman"/>
          <w:b/>
          <w:bCs/>
          <w:sz w:val="24"/>
          <w:szCs w:val="24"/>
        </w:rPr>
      </w:pPr>
      <w:r>
        <w:rPr>
          <w:rFonts w:hint="eastAsia" w:ascii="仿宋" w:hAnsi="仿宋" w:eastAsia="仿宋" w:cs="Times New Roman"/>
          <w:b/>
          <w:bCs/>
          <w:sz w:val="24"/>
          <w:szCs w:val="24"/>
        </w:rPr>
        <w:t>2.确定依据</w:t>
      </w:r>
    </w:p>
    <w:p w14:paraId="2E2565E4">
      <w:pPr>
        <w:spacing w:line="360" w:lineRule="auto"/>
        <w:ind w:firstLine="480" w:firstLineChars="200"/>
        <w:jc w:val="both"/>
        <w:rPr>
          <w:rFonts w:hint="eastAsia" w:ascii="仿宋" w:hAnsi="仿宋" w:eastAsia="仿宋" w:cs="Times New Roman"/>
          <w:sz w:val="24"/>
          <w:szCs w:val="24"/>
        </w:rPr>
      </w:pPr>
      <w:r>
        <w:rPr>
          <w:rFonts w:hint="eastAsia" w:ascii="仿宋" w:hAnsi="仿宋" w:eastAsia="仿宋" w:cs="Times New Roman"/>
          <w:sz w:val="24"/>
          <w:szCs w:val="24"/>
        </w:rPr>
        <w:t>本文件通过湖南省食用菌研究所科研团队对菌类多糖提取数据和方案总结的基础上，形成小试数据，并到省内多糖提取物生产工厂进行参数和流程优化，主要针对菌类提取物行业中提取物基本都是质量标准，不是生产工艺标准，虽然其标准中通常都会在适用范围中增加相应的生产工艺，但是通常都是一句话或一段话，</w:t>
      </w:r>
      <w:r>
        <w:rPr>
          <w:rFonts w:hint="eastAsia" w:ascii="仿宋" w:hAnsi="仿宋" w:eastAsia="仿宋" w:cs="Times New Roman"/>
          <w:sz w:val="24"/>
          <w:szCs w:val="24"/>
          <w:lang w:eastAsia="zh-CN"/>
        </w:rPr>
        <w:t>较为</w:t>
      </w:r>
      <w:r>
        <w:rPr>
          <w:rFonts w:hint="eastAsia" w:ascii="仿宋" w:hAnsi="仿宋" w:eastAsia="仿宋" w:cs="Times New Roman"/>
          <w:sz w:val="24"/>
          <w:szCs w:val="24"/>
        </w:rPr>
        <w:t>简单，或者直接参照一般提取物的标准。事实上，蛹虫草多糖的提取工艺</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质量标准</w:t>
      </w:r>
      <w:r>
        <w:rPr>
          <w:rFonts w:hint="eastAsia" w:ascii="仿宋" w:hAnsi="仿宋" w:eastAsia="仿宋" w:cs="Times New Roman"/>
          <w:sz w:val="24"/>
          <w:szCs w:val="24"/>
        </w:rPr>
        <w:t>与其他菌类或植物有较大差别，需要制定专门的加以规范。</w:t>
      </w:r>
    </w:p>
    <w:p w14:paraId="4C147CDE">
      <w:pPr>
        <w:spacing w:line="360" w:lineRule="auto"/>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（1）先进性和创新性：</w:t>
      </w:r>
    </w:p>
    <w:p w14:paraId="2BEAB3A6">
      <w:pPr>
        <w:spacing w:line="360" w:lineRule="auto"/>
        <w:ind w:firstLine="480" w:firstLineChars="200"/>
        <w:jc w:val="both"/>
        <w:rPr>
          <w:rFonts w:hint="eastAsia" w:ascii="仿宋" w:hAnsi="仿宋" w:eastAsia="仿宋" w:cs="Times New Roman"/>
          <w:sz w:val="24"/>
          <w:szCs w:val="24"/>
        </w:rPr>
      </w:pPr>
      <w:r>
        <w:rPr>
          <w:rFonts w:hint="eastAsia" w:ascii="仿宋" w:hAnsi="仿宋" w:eastAsia="仿宋" w:cs="Times New Roman"/>
          <w:sz w:val="24"/>
          <w:szCs w:val="24"/>
        </w:rPr>
        <w:t>目前蛹虫草多糖生产工艺技术规范无国际标准和国外先进标准可参照。本标准在制订过程中对以蛹虫草为原料的多糖的生产工艺、检测和市场进行了充分的调查研究，后续广泛征求和采纳了国内相关领域专家的意见和建议，制定的标准适合我国国情，具有先进性、科学性、实用性和可操作性的标准。</w:t>
      </w:r>
    </w:p>
    <w:p w14:paraId="0CCD0D5B">
      <w:pPr>
        <w:spacing w:line="360" w:lineRule="auto"/>
        <w:ind w:firstLine="480" w:firstLineChars="200"/>
        <w:jc w:val="both"/>
        <w:rPr>
          <w:rFonts w:hint="eastAsia" w:ascii="仿宋" w:hAnsi="仿宋" w:eastAsia="仿宋" w:cs="Times New Roman"/>
          <w:sz w:val="24"/>
          <w:szCs w:val="24"/>
          <w:lang w:eastAsia="zh-CN"/>
        </w:rPr>
      </w:pPr>
      <w:r>
        <w:rPr>
          <w:rFonts w:hint="eastAsia" w:ascii="仿宋" w:hAnsi="仿宋" w:eastAsia="仿宋" w:cs="Times New Roman"/>
          <w:sz w:val="24"/>
          <w:szCs w:val="24"/>
        </w:rPr>
        <w:t>相较于一般的提取物标准，本标准明确了蛹虫草多糖的概念，“以人工培育的蛹虫草子实体为原料，采用适当工艺提取获得的，由10个以上单糖通过糖苷键连接而成的线性或分支的聚合物</w:t>
      </w:r>
      <w:r>
        <w:rPr>
          <w:rFonts w:hint="eastAsia" w:ascii="仿宋" w:hAnsi="仿宋" w:eastAsia="仿宋" w:cs="Times New Roman"/>
          <w:sz w:val="24"/>
          <w:szCs w:val="24"/>
          <w:lang w:eastAsia="zh-CN"/>
        </w:rPr>
        <w:t>”</w:t>
      </w:r>
      <w:r>
        <w:rPr>
          <w:rFonts w:hint="eastAsia" w:ascii="仿宋" w:hAnsi="仿宋" w:eastAsia="仿宋" w:cs="Times New Roman"/>
          <w:sz w:val="24"/>
          <w:szCs w:val="24"/>
        </w:rPr>
        <w:t>。</w:t>
      </w:r>
    </w:p>
    <w:p w14:paraId="28381FC1">
      <w:pPr>
        <w:spacing w:line="360" w:lineRule="auto"/>
        <w:ind w:firstLine="480" w:firstLineChars="200"/>
        <w:jc w:val="both"/>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目前，国内仅蛹虫草子实体获批新资源食品，因而规范了蛹虫草多糖提取的原料来源，仅限于符合新资源食品要求的蛹虫草子实体。</w:t>
      </w:r>
    </w:p>
    <w:p w14:paraId="55C50E01">
      <w:pPr>
        <w:spacing w:line="360" w:lineRule="auto"/>
        <w:ind w:firstLine="480" w:firstLineChars="200"/>
        <w:jc w:val="both"/>
        <w:rPr>
          <w:rFonts w:hint="eastAsia" w:ascii="仿宋" w:hAnsi="仿宋" w:eastAsia="仿宋" w:cs="Times New Roman"/>
          <w:sz w:val="24"/>
          <w:szCs w:val="24"/>
        </w:rPr>
      </w:pPr>
      <w:r>
        <w:rPr>
          <w:rFonts w:hint="eastAsia" w:ascii="仿宋" w:hAnsi="仿宋" w:eastAsia="仿宋" w:cs="Times New Roman"/>
          <w:sz w:val="24"/>
          <w:szCs w:val="24"/>
        </w:rPr>
        <w:t>需要得到高纯度、高活性的蛹虫草多糖，相对于传统提取物工艺在</w:t>
      </w:r>
      <w:r>
        <w:rPr>
          <w:rFonts w:hint="eastAsia" w:ascii="仿宋" w:hAnsi="仿宋" w:eastAsia="仿宋" w:cs="Times New Roman"/>
          <w:sz w:val="24"/>
          <w:szCs w:val="24"/>
          <w:lang w:val="en-US" w:eastAsia="zh-CN"/>
        </w:rPr>
        <w:t>原料前</w:t>
      </w:r>
      <w:r>
        <w:rPr>
          <w:rFonts w:hint="eastAsia" w:ascii="仿宋" w:hAnsi="仿宋" w:eastAsia="仿宋" w:cs="Times New Roman"/>
          <w:sz w:val="24"/>
          <w:szCs w:val="24"/>
        </w:rPr>
        <w:t>处理，提取温度、提取时间及工艺流程上</w:t>
      </w:r>
      <w:r>
        <w:rPr>
          <w:rFonts w:hint="eastAsia" w:ascii="仿宋" w:hAnsi="仿宋" w:eastAsia="仿宋" w:cs="Times New Roman"/>
          <w:sz w:val="24"/>
          <w:szCs w:val="24"/>
          <w:lang w:val="en-US" w:eastAsia="zh-CN"/>
        </w:rPr>
        <w:t>明确了了</w:t>
      </w:r>
      <w:r>
        <w:rPr>
          <w:rFonts w:hint="eastAsia" w:ascii="仿宋" w:hAnsi="仿宋" w:eastAsia="仿宋" w:cs="Times New Roman"/>
          <w:sz w:val="24"/>
          <w:szCs w:val="24"/>
        </w:rPr>
        <w:t>醇沉</w:t>
      </w:r>
      <w:r>
        <w:rPr>
          <w:rFonts w:hint="eastAsia" w:ascii="仿宋" w:hAnsi="仿宋" w:eastAsia="仿宋" w:cs="Times New Roman"/>
          <w:sz w:val="24"/>
          <w:szCs w:val="24"/>
          <w:lang w:val="en-US" w:eastAsia="zh-CN"/>
        </w:rPr>
        <w:t>步骤</w:t>
      </w:r>
      <w:r>
        <w:rPr>
          <w:rFonts w:hint="eastAsia" w:ascii="仿宋" w:hAnsi="仿宋" w:eastAsia="仿宋" w:cs="Times New Roman"/>
          <w:sz w:val="24"/>
          <w:szCs w:val="24"/>
        </w:rPr>
        <w:t>，</w:t>
      </w:r>
      <w:r>
        <w:rPr>
          <w:rFonts w:hint="eastAsia" w:ascii="仿宋" w:hAnsi="仿宋" w:eastAsia="仿宋" w:cs="Times New Roman"/>
          <w:sz w:val="24"/>
          <w:szCs w:val="24"/>
          <w:lang w:val="en-US" w:eastAsia="zh-CN"/>
        </w:rPr>
        <w:t>达到定向提取多糖的作用。</w:t>
      </w:r>
      <w:r>
        <w:rPr>
          <w:rFonts w:hint="eastAsia" w:ascii="仿宋" w:hAnsi="仿宋" w:eastAsia="仿宋" w:cs="Times New Roman"/>
          <w:sz w:val="24"/>
          <w:szCs w:val="24"/>
        </w:rPr>
        <w:t>虽然多糖是水溶性的，一般的水提，其主要产物有多糖，但同时含有大量其他物质，如蛋白、萜类、酮类等，醇沉可以减少其他成分物质的</w:t>
      </w:r>
      <w:r>
        <w:rPr>
          <w:rFonts w:hint="eastAsia" w:ascii="仿宋" w:hAnsi="仿宋" w:eastAsia="仿宋" w:cs="Times New Roman"/>
          <w:sz w:val="24"/>
          <w:szCs w:val="24"/>
          <w:lang w:eastAsia="zh-CN"/>
        </w:rPr>
        <w:t>掺杂，</w:t>
      </w:r>
      <w:r>
        <w:rPr>
          <w:rFonts w:hint="eastAsia" w:ascii="仿宋" w:hAnsi="仿宋" w:eastAsia="仿宋" w:cs="Times New Roman"/>
          <w:sz w:val="24"/>
          <w:szCs w:val="24"/>
        </w:rPr>
        <w:t>提高蛹虫草多糖的</w:t>
      </w:r>
      <w:r>
        <w:rPr>
          <w:rFonts w:hint="eastAsia" w:ascii="仿宋" w:hAnsi="仿宋" w:eastAsia="仿宋" w:cs="Times New Roman"/>
          <w:sz w:val="24"/>
          <w:szCs w:val="24"/>
          <w:lang w:eastAsia="zh-CN"/>
        </w:rPr>
        <w:t>纯度</w:t>
      </w:r>
      <w:r>
        <w:rPr>
          <w:rFonts w:hint="eastAsia" w:ascii="仿宋" w:hAnsi="仿宋" w:eastAsia="仿宋" w:cs="Times New Roman"/>
          <w:sz w:val="24"/>
          <w:szCs w:val="24"/>
        </w:rPr>
        <w:t>。剩余物料液体可以再次浓缩、干燥后作为提取物流向其他领域，发挥作用。</w:t>
      </w:r>
    </w:p>
    <w:p w14:paraId="054BFD5E">
      <w:pPr>
        <w:spacing w:line="360" w:lineRule="auto"/>
        <w:ind w:firstLine="480" w:firstLineChars="200"/>
        <w:jc w:val="both"/>
        <w:rPr>
          <w:rFonts w:hint="eastAsia" w:ascii="仿宋" w:hAnsi="仿宋" w:eastAsia="仿宋" w:cs="Times New Roman"/>
          <w:sz w:val="24"/>
          <w:szCs w:val="24"/>
        </w:rPr>
      </w:pPr>
      <w:r>
        <w:rPr>
          <w:rFonts w:hint="eastAsia" w:ascii="仿宋" w:hAnsi="仿宋" w:eastAsia="仿宋" w:cs="Times New Roman"/>
          <w:sz w:val="24"/>
          <w:szCs w:val="24"/>
        </w:rPr>
        <w:t>标准对蛹虫草多糖的感官指标、理化指标、安全性指标的指标范围和检测方法等做了明确的规定。整个标准草稿目前考虑较为全面</w:t>
      </w:r>
      <w:r>
        <w:rPr>
          <w:rFonts w:hint="eastAsia" w:ascii="仿宋" w:hAnsi="仿宋" w:eastAsia="仿宋" w:cs="Times New Roman"/>
          <w:sz w:val="24"/>
          <w:szCs w:val="24"/>
          <w:lang w:eastAsia="zh-CN"/>
        </w:rPr>
        <w:t>、</w:t>
      </w:r>
      <w:r>
        <w:rPr>
          <w:rFonts w:hint="eastAsia" w:ascii="仿宋" w:hAnsi="仿宋" w:eastAsia="仿宋" w:cs="Times New Roman"/>
          <w:sz w:val="24"/>
          <w:szCs w:val="24"/>
        </w:rPr>
        <w:t>合理，标准可操作性、实用性非常强。</w:t>
      </w:r>
    </w:p>
    <w:p w14:paraId="3B9E276F">
      <w:pPr>
        <w:spacing w:line="360" w:lineRule="auto"/>
        <w:ind w:firstLine="480" w:firstLineChars="200"/>
        <w:jc w:val="both"/>
        <w:rPr>
          <w:rFonts w:hint="eastAsia" w:ascii="仿宋" w:hAnsi="仿宋" w:eastAsia="仿宋" w:cs="Times New Roman"/>
          <w:sz w:val="24"/>
          <w:szCs w:val="24"/>
        </w:rPr>
      </w:pPr>
      <w:r>
        <w:rPr>
          <w:rFonts w:hint="eastAsia" w:ascii="仿宋" w:hAnsi="仿宋" w:eastAsia="仿宋" w:cs="Times New Roman"/>
          <w:sz w:val="24"/>
          <w:szCs w:val="24"/>
        </w:rPr>
        <w:t>通过调研和对比，确定蛹虫草多糖的感官指标，包括色泽、气味、形态等，明确指标及检测方法。</w:t>
      </w:r>
    </w:p>
    <w:p w14:paraId="19DD09B7">
      <w:pPr>
        <w:spacing w:line="360" w:lineRule="auto"/>
        <w:ind w:firstLine="480" w:firstLineChars="200"/>
        <w:jc w:val="both"/>
        <w:rPr>
          <w:rFonts w:hint="eastAsia" w:ascii="仿宋" w:hAnsi="仿宋" w:eastAsia="仿宋" w:cs="Times New Roman"/>
          <w:sz w:val="24"/>
          <w:szCs w:val="24"/>
        </w:rPr>
      </w:pPr>
      <w:r>
        <w:rPr>
          <w:rFonts w:hint="eastAsia" w:ascii="仿宋" w:hAnsi="仿宋" w:eastAsia="仿宋" w:cs="Times New Roman"/>
          <w:sz w:val="24"/>
          <w:szCs w:val="24"/>
        </w:rPr>
        <w:t>确定蛹虫草多糖的理化指标，包括粗多糖含量、蛋白质、水分、灰分的指标及检测方法。</w:t>
      </w:r>
    </w:p>
    <w:p w14:paraId="2D2A651E">
      <w:pPr>
        <w:spacing w:line="360" w:lineRule="auto"/>
        <w:ind w:firstLine="480" w:firstLineChars="200"/>
        <w:jc w:val="both"/>
        <w:rPr>
          <w:rFonts w:hint="eastAsia" w:ascii="仿宋" w:hAnsi="仿宋" w:eastAsia="仿宋" w:cs="Times New Roman"/>
          <w:sz w:val="24"/>
          <w:szCs w:val="24"/>
        </w:rPr>
      </w:pPr>
      <w:r>
        <w:rPr>
          <w:rFonts w:hint="eastAsia" w:ascii="仿宋" w:hAnsi="仿宋" w:eastAsia="仿宋" w:cs="Times New Roman"/>
          <w:sz w:val="24"/>
          <w:szCs w:val="24"/>
        </w:rPr>
        <w:t>确定蛹虫草多糖的安全指标，包括粗多糖微生物指标（菌落总数、大肠杆菌、金黄色葡萄球菌、霉菌</w:t>
      </w:r>
      <w:r>
        <w:rPr>
          <w:rFonts w:hint="eastAsia" w:ascii="仿宋" w:hAnsi="仿宋" w:eastAsia="仿宋" w:cs="Times New Roman"/>
          <w:sz w:val="24"/>
          <w:szCs w:val="24"/>
          <w:lang w:val="en-US" w:eastAsia="zh-CN"/>
        </w:rPr>
        <w:t>和</w:t>
      </w:r>
      <w:r>
        <w:rPr>
          <w:rFonts w:hint="eastAsia" w:ascii="仿宋" w:hAnsi="仿宋" w:eastAsia="仿宋" w:cs="Times New Roman"/>
          <w:sz w:val="24"/>
          <w:szCs w:val="24"/>
        </w:rPr>
        <w:t>酵母菌、沙门氏菌</w:t>
      </w:r>
      <w:r>
        <w:rPr>
          <w:rFonts w:hint="eastAsia" w:ascii="仿宋" w:hAnsi="仿宋" w:eastAsia="仿宋" w:cs="Times New Roman"/>
          <w:sz w:val="24"/>
          <w:szCs w:val="24"/>
          <w:lang w:eastAsia="zh-CN"/>
        </w:rPr>
        <w:t>、</w:t>
      </w:r>
      <w:r>
        <w:rPr>
          <w:rFonts w:hint="eastAsia" w:ascii="仿宋" w:hAnsi="仿宋" w:eastAsia="仿宋" w:cs="Times New Roman"/>
          <w:sz w:val="24"/>
          <w:szCs w:val="24"/>
        </w:rPr>
        <w:t>李斯特氏菌）</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黄曲霉素</w:t>
      </w:r>
      <w:r>
        <w:rPr>
          <w:rFonts w:hint="eastAsia" w:ascii="仿宋" w:hAnsi="仿宋" w:eastAsia="仿宋" w:cs="Times New Roman"/>
          <w:sz w:val="24"/>
          <w:szCs w:val="24"/>
        </w:rPr>
        <w:t>和重金属指标（铅、汞、砷</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镉</w:t>
      </w:r>
      <w:r>
        <w:rPr>
          <w:rFonts w:hint="eastAsia" w:ascii="仿宋" w:hAnsi="仿宋" w:eastAsia="仿宋" w:cs="Times New Roman"/>
          <w:sz w:val="24"/>
          <w:szCs w:val="24"/>
        </w:rPr>
        <w:t>）及</w:t>
      </w:r>
      <w:r>
        <w:rPr>
          <w:rFonts w:hint="eastAsia" w:ascii="仿宋" w:hAnsi="仿宋" w:eastAsia="仿宋" w:cs="Times New Roman"/>
          <w:sz w:val="24"/>
          <w:szCs w:val="24"/>
          <w:lang w:val="en-US" w:eastAsia="zh-CN"/>
        </w:rPr>
        <w:t>其他污染物的限量指标及</w:t>
      </w:r>
      <w:r>
        <w:rPr>
          <w:rFonts w:hint="eastAsia" w:ascii="仿宋" w:hAnsi="仿宋" w:eastAsia="仿宋" w:cs="Times New Roman"/>
          <w:sz w:val="24"/>
          <w:szCs w:val="24"/>
        </w:rPr>
        <w:t>检测方法。</w:t>
      </w:r>
    </w:p>
    <w:p w14:paraId="0C343C79">
      <w:pPr>
        <w:spacing w:line="360" w:lineRule="auto"/>
        <w:ind w:firstLine="480" w:firstLineChars="200"/>
        <w:jc w:val="both"/>
        <w:rPr>
          <w:rFonts w:hint="eastAsia" w:ascii="仿宋" w:hAnsi="仿宋" w:eastAsia="仿宋" w:cs="Times New Roman"/>
          <w:sz w:val="24"/>
          <w:szCs w:val="24"/>
        </w:rPr>
      </w:pPr>
      <w:r>
        <w:rPr>
          <w:rFonts w:hint="eastAsia" w:ascii="仿宋" w:hAnsi="仿宋" w:eastAsia="仿宋" w:cs="Times New Roman"/>
          <w:sz w:val="24"/>
          <w:szCs w:val="24"/>
        </w:rPr>
        <w:t>明确检验规则、标志、标签、包装、运输、贮存、废弃物处置、档案管理等，整个标准完善、全面，先进性及可操作性强。</w:t>
      </w:r>
    </w:p>
    <w:p w14:paraId="24862B27">
      <w:pPr>
        <w:spacing w:line="360" w:lineRule="auto"/>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（2）难点和创新点：</w:t>
      </w:r>
    </w:p>
    <w:p w14:paraId="5CB6B919">
      <w:pPr>
        <w:spacing w:line="360" w:lineRule="auto"/>
        <w:ind w:firstLine="480" w:firstLineChars="200"/>
        <w:jc w:val="both"/>
        <w:rPr>
          <w:rFonts w:hint="eastAsia" w:ascii="仿宋" w:hAnsi="仿宋" w:eastAsia="仿宋" w:cs="Times New Roman"/>
          <w:sz w:val="24"/>
          <w:szCs w:val="24"/>
        </w:rPr>
      </w:pPr>
      <w:r>
        <w:rPr>
          <w:rFonts w:hint="eastAsia" w:ascii="仿宋" w:hAnsi="仿宋" w:eastAsia="仿宋" w:cs="Times New Roman"/>
          <w:sz w:val="24"/>
          <w:szCs w:val="24"/>
        </w:rPr>
        <w:t>明确蛹虫草多糖提取整体工艺流程，相比于其他提取物通用流程，在原料</w:t>
      </w:r>
      <w:r>
        <w:rPr>
          <w:rFonts w:hint="eastAsia" w:ascii="仿宋" w:hAnsi="仿宋" w:eastAsia="仿宋" w:cs="Times New Roman"/>
          <w:sz w:val="24"/>
          <w:szCs w:val="24"/>
          <w:lang w:val="en-US" w:eastAsia="zh-CN"/>
        </w:rPr>
        <w:t>前</w:t>
      </w:r>
      <w:r>
        <w:rPr>
          <w:rFonts w:hint="eastAsia" w:ascii="仿宋" w:hAnsi="仿宋" w:eastAsia="仿宋" w:cs="Times New Roman"/>
          <w:sz w:val="24"/>
          <w:szCs w:val="24"/>
        </w:rPr>
        <w:t>处理方面做出了规定，如果物料为新鲜蛹虫草子实体，</w:t>
      </w:r>
      <w:r>
        <w:rPr>
          <w:rFonts w:hint="eastAsia" w:ascii="仿宋" w:hAnsi="仿宋" w:eastAsia="仿宋" w:cs="Times New Roman"/>
          <w:sz w:val="24"/>
          <w:szCs w:val="24"/>
          <w:lang w:val="en-US" w:eastAsia="zh-CN"/>
        </w:rPr>
        <w:t>则进行冻干或热风干燥，并明确含水量限量指标，</w:t>
      </w:r>
      <w:r>
        <w:rPr>
          <w:rFonts w:hint="eastAsia" w:ascii="仿宋" w:hAnsi="仿宋" w:eastAsia="仿宋" w:cs="Times New Roman"/>
          <w:sz w:val="24"/>
          <w:szCs w:val="24"/>
        </w:rPr>
        <w:t>以确保物料的新鲜及成分的有效性。</w:t>
      </w:r>
    </w:p>
    <w:p w14:paraId="6A242092">
      <w:pPr>
        <w:spacing w:line="360" w:lineRule="auto"/>
        <w:ind w:firstLine="480" w:firstLineChars="200"/>
        <w:jc w:val="both"/>
        <w:rPr>
          <w:rFonts w:hint="eastAsia" w:ascii="仿宋" w:hAnsi="仿宋" w:eastAsia="仿宋" w:cs="Times New Roman"/>
          <w:sz w:val="24"/>
          <w:szCs w:val="24"/>
          <w:lang w:eastAsia="zh-CN"/>
        </w:rPr>
      </w:pPr>
      <w:r>
        <w:rPr>
          <w:rFonts w:hint="eastAsia" w:ascii="仿宋" w:hAnsi="仿宋" w:eastAsia="仿宋" w:cs="Times New Roman"/>
          <w:sz w:val="24"/>
          <w:szCs w:val="24"/>
        </w:rPr>
        <w:t>蛹虫草子实体主要是工厂化生产，其杂质相对</w:t>
      </w:r>
      <w:r>
        <w:rPr>
          <w:rFonts w:hint="eastAsia" w:ascii="仿宋" w:hAnsi="仿宋" w:eastAsia="仿宋" w:cs="Times New Roman"/>
          <w:sz w:val="24"/>
          <w:szCs w:val="24"/>
          <w:lang w:eastAsia="zh-CN"/>
        </w:rPr>
        <w:t>于</w:t>
      </w:r>
      <w:r>
        <w:rPr>
          <w:rFonts w:hint="eastAsia" w:ascii="仿宋" w:hAnsi="仿宋" w:eastAsia="仿宋" w:cs="Times New Roman"/>
          <w:sz w:val="24"/>
          <w:szCs w:val="24"/>
        </w:rPr>
        <w:t>覆土栽培的其他菌类品种没有泥沙、农业废弃物等杂质，主要为培养基残留物，</w:t>
      </w:r>
      <w:r>
        <w:rPr>
          <w:rFonts w:hint="eastAsia" w:ascii="仿宋" w:hAnsi="仿宋" w:eastAsia="仿宋" w:cs="Times New Roman"/>
          <w:sz w:val="24"/>
          <w:szCs w:val="24"/>
          <w:lang w:val="en-US" w:eastAsia="zh-CN"/>
        </w:rPr>
        <w:t>在前处理阶段应对原料进行除杂，以减少后期提取过程中的可能存在杂质影响产品质量</w:t>
      </w:r>
      <w:r>
        <w:rPr>
          <w:rFonts w:hint="eastAsia" w:ascii="仿宋" w:hAnsi="仿宋" w:eastAsia="仿宋" w:cs="Times New Roman"/>
          <w:sz w:val="24"/>
          <w:szCs w:val="24"/>
          <w:lang w:eastAsia="zh-CN"/>
        </w:rPr>
        <w:t>。</w:t>
      </w:r>
    </w:p>
    <w:p w14:paraId="452C0DD6">
      <w:pPr>
        <w:spacing w:line="360" w:lineRule="auto"/>
        <w:ind w:firstLine="480" w:firstLineChars="200"/>
        <w:jc w:val="both"/>
        <w:rPr>
          <w:rFonts w:hint="eastAsia" w:ascii="仿宋" w:hAnsi="仿宋" w:eastAsia="仿宋" w:cs="Times New Roman"/>
          <w:sz w:val="24"/>
          <w:szCs w:val="24"/>
          <w:lang w:val="en-US" w:eastAsia="zh-CN"/>
        </w:rPr>
      </w:pPr>
      <w:r>
        <w:rPr>
          <w:rFonts w:hint="eastAsia" w:ascii="仿宋" w:hAnsi="仿宋" w:eastAsia="仿宋" w:cs="Times New Roman"/>
          <w:sz w:val="24"/>
          <w:szCs w:val="24"/>
        </w:rPr>
        <w:t>明确蛹虫草作为提取原料</w:t>
      </w:r>
      <w:r>
        <w:rPr>
          <w:rFonts w:hint="eastAsia" w:ascii="仿宋" w:hAnsi="仿宋" w:eastAsia="仿宋" w:cs="Times New Roman"/>
          <w:sz w:val="24"/>
          <w:szCs w:val="24"/>
          <w:lang w:val="en-US" w:eastAsia="zh-CN"/>
        </w:rPr>
        <w:t>进行粉碎处理</w:t>
      </w:r>
      <w:r>
        <w:rPr>
          <w:rFonts w:hint="eastAsia" w:ascii="仿宋" w:hAnsi="仿宋" w:eastAsia="仿宋" w:cs="Times New Roman"/>
          <w:sz w:val="24"/>
          <w:szCs w:val="24"/>
        </w:rPr>
        <w:t>。</w:t>
      </w:r>
      <w:r>
        <w:rPr>
          <w:rFonts w:hint="eastAsia" w:ascii="仿宋" w:hAnsi="仿宋" w:eastAsia="仿宋" w:cs="Times New Roman"/>
          <w:sz w:val="24"/>
          <w:szCs w:val="24"/>
          <w:lang w:val="en-US" w:eastAsia="zh-CN"/>
        </w:rPr>
        <w:t>但未对</w:t>
      </w:r>
      <w:r>
        <w:rPr>
          <w:rFonts w:hint="eastAsia" w:ascii="仿宋" w:hAnsi="仿宋" w:eastAsia="仿宋" w:cs="Times New Roman"/>
          <w:sz w:val="24"/>
          <w:szCs w:val="24"/>
        </w:rPr>
        <w:t>细度</w:t>
      </w:r>
      <w:r>
        <w:rPr>
          <w:rFonts w:hint="eastAsia" w:ascii="仿宋" w:hAnsi="仿宋" w:eastAsia="仿宋" w:cs="Times New Roman"/>
          <w:sz w:val="24"/>
          <w:szCs w:val="24"/>
          <w:lang w:val="en-US" w:eastAsia="zh-CN"/>
        </w:rPr>
        <w:t>做明确要求，主要考虑各个生产厂家的设备及工艺上有差异，蛹虫草本身的结构及本身比较细小。</w:t>
      </w:r>
    </w:p>
    <w:p w14:paraId="59597417">
      <w:pPr>
        <w:spacing w:line="360" w:lineRule="auto"/>
        <w:ind w:firstLine="480" w:firstLineChars="200"/>
        <w:jc w:val="both"/>
        <w:rPr>
          <w:rFonts w:hint="eastAsia" w:ascii="仿宋" w:hAnsi="仿宋" w:eastAsia="仿宋" w:cs="Times New Roman"/>
          <w:sz w:val="24"/>
          <w:szCs w:val="24"/>
        </w:rPr>
      </w:pPr>
      <w:r>
        <w:rPr>
          <w:rFonts w:hint="eastAsia" w:ascii="仿宋" w:hAnsi="仿宋" w:eastAsia="仿宋" w:cs="Times New Roman"/>
          <w:sz w:val="24"/>
          <w:szCs w:val="24"/>
        </w:rPr>
        <w:t>明确提取过程中料液比为</w:t>
      </w:r>
      <w:r>
        <w:rPr>
          <w:rFonts w:hint="eastAsia" w:ascii="仿宋" w:hAnsi="仿宋" w:eastAsia="仿宋" w:cs="Times New Roman"/>
          <w:sz w:val="24"/>
          <w:szCs w:val="24"/>
          <w:lang w:val="en-US" w:eastAsia="zh-CN"/>
        </w:rPr>
        <w:t xml:space="preserve"> 1：8 ～ 1：10 比例混合，在提取罐中保持 80 ℃～95 ℃ 浸提 2 h～3 h，提取 1 次～ 2 次，收集、合并提取液。本工艺</w:t>
      </w:r>
      <w:r>
        <w:rPr>
          <w:rFonts w:hint="eastAsia" w:ascii="仿宋" w:hAnsi="仿宋" w:eastAsia="仿宋" w:cs="Times New Roman"/>
          <w:sz w:val="24"/>
          <w:szCs w:val="24"/>
        </w:rPr>
        <w:t>参数经过实验室设计，工厂小试，</w:t>
      </w:r>
      <w:r>
        <w:rPr>
          <w:rFonts w:hint="eastAsia" w:ascii="仿宋" w:hAnsi="仿宋" w:eastAsia="仿宋" w:cs="Times New Roman"/>
          <w:sz w:val="24"/>
          <w:szCs w:val="24"/>
          <w:lang w:val="en-US" w:eastAsia="zh-CN"/>
        </w:rPr>
        <w:t>并结合多家提取物生产企业的意见，综合所得到的</w:t>
      </w:r>
      <w:r>
        <w:rPr>
          <w:rFonts w:hint="eastAsia" w:ascii="仿宋" w:hAnsi="仿宋" w:eastAsia="仿宋" w:cs="Times New Roman"/>
          <w:sz w:val="24"/>
          <w:szCs w:val="24"/>
        </w:rPr>
        <w:t>最为节能且多糖得率最高的流程和参数。</w:t>
      </w:r>
    </w:p>
    <w:p w14:paraId="0F5FEC89">
      <w:pPr>
        <w:pStyle w:val="18"/>
        <w:keepNext w:val="0"/>
        <w:keepLines w:val="0"/>
        <w:pageBreakBefore w:val="0"/>
        <w:widowControl/>
        <w:wordWrap/>
        <w:overflowPunct/>
        <w:topLinePunct w:val="0"/>
        <w:autoSpaceDE w:val="0"/>
        <w:autoSpaceDN w:val="0"/>
        <w:bidi w:val="0"/>
        <w:spacing w:line="360" w:lineRule="auto"/>
        <w:ind w:firstLine="420"/>
        <w:rPr>
          <w:rFonts w:hint="eastAsia" w:ascii="仿宋" w:hAnsi="仿宋" w:eastAsia="仿宋" w:cs="仿宋"/>
          <w:sz w:val="24"/>
          <w:szCs w:val="24"/>
          <w:lang w:val="en-US" w:eastAsia="zh-CN"/>
        </w:rPr>
      </w:pPr>
      <w:r>
        <w:rPr>
          <w:rFonts w:hint="eastAsia" w:ascii="仿宋" w:hAnsi="仿宋" w:eastAsia="仿宋" w:cs="仿宋"/>
          <w:sz w:val="24"/>
          <w:szCs w:val="24"/>
        </w:rPr>
        <w:t>明确浓缩及醇沉</w:t>
      </w:r>
      <w:r>
        <w:rPr>
          <w:rFonts w:hint="eastAsia" w:ascii="仿宋" w:hAnsi="仿宋" w:eastAsia="仿宋" w:cs="仿宋"/>
          <w:sz w:val="24"/>
          <w:szCs w:val="24"/>
          <w:lang w:val="en-US" w:eastAsia="zh-CN"/>
        </w:rPr>
        <w:t>过程中的相关参数</w:t>
      </w:r>
      <w:r>
        <w:rPr>
          <w:rFonts w:hint="eastAsia" w:ascii="仿宋" w:hAnsi="仿宋" w:eastAsia="仿宋" w:cs="仿宋"/>
          <w:sz w:val="24"/>
          <w:szCs w:val="24"/>
        </w:rPr>
        <w:t>，真空度 -0.07 MPa～ -0.08 MPa，减压浓缩至 8 °Bé～ 12 °Bé，浓缩过程中温度范围在 55℃～65 ℃。考虑蛹虫草水提物中除了多糖，还有虫草素、腺苷等其他活性成分，</w:t>
      </w:r>
      <w:r>
        <w:rPr>
          <w:rFonts w:hint="eastAsia" w:ascii="仿宋" w:hAnsi="仿宋" w:eastAsia="仿宋" w:cs="仿宋"/>
          <w:sz w:val="24"/>
          <w:szCs w:val="24"/>
          <w:lang w:val="en-US" w:eastAsia="zh-CN"/>
        </w:rPr>
        <w:t>先进行</w:t>
      </w:r>
      <w:r>
        <w:rPr>
          <w:rFonts w:hint="eastAsia" w:ascii="仿宋" w:hAnsi="仿宋" w:eastAsia="仿宋" w:cs="仿宋"/>
          <w:sz w:val="24"/>
          <w:szCs w:val="24"/>
        </w:rPr>
        <w:t>减压浓缩后，</w:t>
      </w:r>
      <w:r>
        <w:rPr>
          <w:rFonts w:hint="eastAsia" w:ascii="仿宋" w:hAnsi="仿宋" w:eastAsia="仿宋" w:cs="仿宋"/>
          <w:sz w:val="24"/>
          <w:szCs w:val="24"/>
          <w:lang w:val="en-US" w:eastAsia="zh-CN"/>
        </w:rPr>
        <w:t>减少乙醇的使用量，浓缩到</w:t>
      </w:r>
      <w:r>
        <w:rPr>
          <w:rFonts w:hint="eastAsia" w:ascii="仿宋" w:hAnsi="仿宋" w:eastAsia="仿宋" w:cs="仿宋"/>
          <w:sz w:val="24"/>
          <w:szCs w:val="24"/>
        </w:rPr>
        <w:t>8 °Bé～ 12 °Bé</w:t>
      </w:r>
      <w:r>
        <w:rPr>
          <w:rFonts w:hint="eastAsia" w:ascii="仿宋" w:hAnsi="仿宋" w:eastAsia="仿宋" w:cs="仿宋"/>
          <w:sz w:val="24"/>
          <w:szCs w:val="24"/>
          <w:lang w:val="en-US" w:eastAsia="zh-CN"/>
        </w:rPr>
        <w:t>后。</w:t>
      </w:r>
    </w:p>
    <w:p w14:paraId="1490E90F">
      <w:pPr>
        <w:pStyle w:val="18"/>
        <w:keepNext w:val="0"/>
        <w:keepLines w:val="0"/>
        <w:pageBreakBefore w:val="0"/>
        <w:widowControl/>
        <w:wordWrap/>
        <w:overflowPunct/>
        <w:topLinePunct w:val="0"/>
        <w:autoSpaceDE w:val="0"/>
        <w:autoSpaceDN w:val="0"/>
        <w:bidi w:val="0"/>
        <w:spacing w:line="360" w:lineRule="auto"/>
        <w:ind w:firstLine="420"/>
        <w:rPr>
          <w:rFonts w:hint="eastAsia" w:ascii="仿宋" w:hAnsi="仿宋" w:eastAsia="仿宋" w:cs="仿宋"/>
          <w:sz w:val="24"/>
          <w:szCs w:val="24"/>
        </w:rPr>
      </w:pPr>
      <w:r>
        <w:rPr>
          <w:rFonts w:hint="eastAsia" w:ascii="仿宋" w:hAnsi="仿宋" w:eastAsia="仿宋" w:cs="仿宋"/>
          <w:sz w:val="24"/>
          <w:szCs w:val="24"/>
          <w:lang w:val="en-US" w:eastAsia="zh-CN"/>
        </w:rPr>
        <w:t>明确在提取环节中加入灭菌环节，主要考虑质量控制要求中对微生物指标的需求以及多糖提取流程中存在大量的能量物质，容易出现微生物超标。利用超高温瞬时灭菌技术能够很好的灭菌同时不影响多糖的结构与活性。</w:t>
      </w:r>
      <w:r>
        <w:rPr>
          <w:rFonts w:hint="eastAsia" w:ascii="仿宋" w:hAnsi="仿宋" w:eastAsia="仿宋" w:cs="仿宋"/>
          <w:sz w:val="24"/>
          <w:szCs w:val="24"/>
        </w:rPr>
        <w:t>固形物进入溶解罐再次充分溶解，132℃～140℃维持 2 S～5 S。</w:t>
      </w:r>
    </w:p>
    <w:p w14:paraId="5D18695A">
      <w:pPr>
        <w:pStyle w:val="18"/>
        <w:keepNext w:val="0"/>
        <w:keepLines w:val="0"/>
        <w:pageBreakBefore w:val="0"/>
        <w:widowControl/>
        <w:wordWrap/>
        <w:overflowPunct/>
        <w:topLinePunct w:val="0"/>
        <w:autoSpaceDE w:val="0"/>
        <w:autoSpaceDN w:val="0"/>
        <w:bidi w:val="0"/>
        <w:spacing w:line="360" w:lineRule="auto"/>
        <w:ind w:firstLine="420"/>
        <w:rPr>
          <w:rFonts w:hint="eastAsia" w:ascii="仿宋" w:hAnsi="仿宋" w:eastAsia="仿宋" w:cs="Times New Roman"/>
          <w:sz w:val="24"/>
          <w:szCs w:val="24"/>
        </w:rPr>
      </w:pPr>
      <w:r>
        <w:rPr>
          <w:rFonts w:hint="eastAsia" w:ascii="仿宋" w:hAnsi="仿宋" w:eastAsia="仿宋" w:cs="仿宋"/>
          <w:sz w:val="24"/>
          <w:szCs w:val="24"/>
          <w:lang w:val="en-US" w:eastAsia="zh-CN"/>
        </w:rPr>
        <w:t>明确采用醇沉工艺，提高多糖的收集纯度和效率。</w:t>
      </w:r>
      <w:r>
        <w:rPr>
          <w:rFonts w:hint="eastAsia" w:ascii="仿宋" w:hAnsi="仿宋" w:eastAsia="仿宋" w:cs="仿宋"/>
          <w:sz w:val="24"/>
          <w:szCs w:val="24"/>
        </w:rPr>
        <w:t>缓慢搅拌加入 95 %的食用乙醇，使乙醇终点浓度为 75 %～ 85 %，4 ℃～10 ℃低温静置 8 h～12 h以内，离心或过滤收集固形物。</w:t>
      </w:r>
      <w:r>
        <w:rPr>
          <w:rFonts w:hint="eastAsia" w:ascii="仿宋" w:hAnsi="仿宋" w:eastAsia="仿宋" w:cs="Times New Roman"/>
          <w:sz w:val="24"/>
          <w:szCs w:val="24"/>
        </w:rPr>
        <w:t>乙醇沉淀后，主要获取蛹虫草多糖</w:t>
      </w:r>
      <w:r>
        <w:rPr>
          <w:rFonts w:hint="eastAsia" w:ascii="仿宋" w:hAnsi="仿宋" w:eastAsia="仿宋" w:cs="Times New Roman"/>
          <w:sz w:val="24"/>
          <w:szCs w:val="24"/>
          <w:lang w:eastAsia="zh-CN"/>
        </w:rPr>
        <w:t>沉淀</w:t>
      </w:r>
      <w:r>
        <w:rPr>
          <w:rFonts w:hint="eastAsia" w:ascii="仿宋" w:hAnsi="仿宋" w:eastAsia="仿宋" w:cs="Times New Roman"/>
          <w:sz w:val="24"/>
          <w:szCs w:val="24"/>
        </w:rPr>
        <w:t>，料液中的其他活性物质可以进一步浓缩、干燥获得其他产品。流程综合考虑了蛹虫草多糖的提取及其他物质的综合利用。</w:t>
      </w:r>
    </w:p>
    <w:p w14:paraId="43C9128D">
      <w:pPr>
        <w:pStyle w:val="18"/>
        <w:keepNext w:val="0"/>
        <w:keepLines w:val="0"/>
        <w:pageBreakBefore w:val="0"/>
        <w:widowControl/>
        <w:wordWrap/>
        <w:overflowPunct/>
        <w:topLinePunct w:val="0"/>
        <w:autoSpaceDE w:val="0"/>
        <w:autoSpaceDN w:val="0"/>
        <w:bidi w:val="0"/>
        <w:spacing w:line="360" w:lineRule="auto"/>
        <w:ind w:firstLine="420"/>
        <w:rPr>
          <w:rFonts w:hint="eastAsia" w:ascii="仿宋" w:hAnsi="仿宋" w:eastAsia="仿宋" w:cs="Times New Roman"/>
          <w:sz w:val="24"/>
          <w:szCs w:val="24"/>
        </w:rPr>
      </w:pPr>
      <w:r>
        <w:rPr>
          <w:rFonts w:hint="eastAsia" w:ascii="仿宋" w:hAnsi="仿宋" w:eastAsia="仿宋" w:cs="仿宋"/>
          <w:sz w:val="24"/>
          <w:szCs w:val="24"/>
          <w:lang w:val="en-US" w:eastAsia="zh-CN"/>
        </w:rPr>
        <w:t>醇沉后的固形物需要复溶后采用喷雾干燥工艺，或固形物直接冷冻干燥，即获得蛹虫草多糖成品。考虑到不同生产厂家的设备及流程存在差异，采用喷雾干燥的厂家，在流程上存在一般固形物复溶，复溶后溶液直接进入干燥塔进行喷雾干燥。而少部分厂家可能在固形物阶段直接采用冻干技术对固形物冻干。</w:t>
      </w:r>
      <w:r>
        <w:rPr>
          <w:rFonts w:hint="eastAsia" w:ascii="仿宋" w:hAnsi="仿宋" w:eastAsia="仿宋" w:cs="Times New Roman"/>
          <w:sz w:val="24"/>
          <w:szCs w:val="24"/>
        </w:rPr>
        <w:t>一般控制水分含量</w:t>
      </w:r>
      <w:r>
        <w:rPr>
          <w:rFonts w:hint="eastAsia" w:ascii="仿宋" w:hAnsi="仿宋" w:eastAsia="仿宋" w:cs="Times New Roman"/>
          <w:color w:val="FF0000"/>
          <w:sz w:val="24"/>
          <w:szCs w:val="24"/>
          <w:lang w:val="en-US" w:eastAsia="zh-CN"/>
        </w:rPr>
        <w:t>8</w:t>
      </w:r>
      <w:r>
        <w:rPr>
          <w:rFonts w:hint="eastAsia" w:ascii="仿宋" w:hAnsi="仿宋" w:eastAsia="仿宋" w:cs="Times New Roman"/>
          <w:color w:val="FF0000"/>
          <w:sz w:val="24"/>
          <w:szCs w:val="24"/>
        </w:rPr>
        <w:t>%</w:t>
      </w:r>
      <w:r>
        <w:rPr>
          <w:rFonts w:hint="eastAsia" w:ascii="仿宋" w:hAnsi="仿宋" w:eastAsia="仿宋" w:cs="Times New Roman"/>
          <w:color w:val="FF0000"/>
          <w:sz w:val="24"/>
          <w:szCs w:val="24"/>
          <w:lang w:eastAsia="zh-CN"/>
        </w:rPr>
        <w:t>以下</w:t>
      </w:r>
      <w:r>
        <w:rPr>
          <w:rFonts w:hint="eastAsia" w:ascii="仿宋" w:hAnsi="仿宋" w:eastAsia="仿宋" w:cs="Times New Roman"/>
          <w:sz w:val="24"/>
          <w:szCs w:val="24"/>
        </w:rPr>
        <w:t>。</w:t>
      </w:r>
    </w:p>
    <w:p w14:paraId="3BF4C5AE">
      <w:pPr>
        <w:keepNext w:val="0"/>
        <w:keepLines w:val="0"/>
        <w:pageBreakBefore w:val="0"/>
        <w:widowControl/>
        <w:kinsoku w:val="0"/>
        <w:wordWrap/>
        <w:overflowPunct/>
        <w:topLinePunct w:val="0"/>
        <w:autoSpaceDE w:val="0"/>
        <w:autoSpaceDN w:val="0"/>
        <w:bidi w:val="0"/>
        <w:adjustRightInd w:val="0"/>
        <w:snapToGrid w:val="0"/>
        <w:spacing w:after="0" w:afterLines="50" w:line="360" w:lineRule="auto"/>
        <w:ind w:firstLine="480" w:firstLineChars="200"/>
        <w:textAlignment w:val="baseline"/>
        <w:rPr>
          <w:rFonts w:hint="eastAsia" w:ascii="仿宋" w:hAnsi="仿宋" w:eastAsia="仿宋" w:cs="Times New Roman"/>
          <w:sz w:val="24"/>
          <w:szCs w:val="24"/>
        </w:rPr>
      </w:pPr>
      <w:r>
        <w:rPr>
          <w:rFonts w:hint="eastAsia" w:ascii="仿宋" w:hAnsi="仿宋" w:eastAsia="仿宋" w:cs="Times New Roman"/>
          <w:sz w:val="24"/>
          <w:szCs w:val="24"/>
        </w:rPr>
        <w:t>明确蛹虫草多糖提取物中粗多糖含量</w:t>
      </w:r>
      <w:r>
        <w:rPr>
          <w:rFonts w:hint="eastAsia" w:ascii="仿宋" w:hAnsi="仿宋" w:eastAsia="仿宋" w:cs="Times New Roman"/>
          <w:color w:val="FF0000"/>
          <w:sz w:val="24"/>
          <w:szCs w:val="24"/>
        </w:rPr>
        <w:t>≧</w:t>
      </w:r>
      <w:r>
        <w:rPr>
          <w:rFonts w:hint="eastAsia" w:ascii="仿宋" w:hAnsi="仿宋" w:eastAsia="仿宋" w:cs="Times New Roman"/>
          <w:color w:val="FF0000"/>
          <w:sz w:val="24"/>
          <w:szCs w:val="24"/>
          <w:lang w:val="en-US" w:eastAsia="zh-CN"/>
        </w:rPr>
        <w:t>30</w:t>
      </w:r>
      <w:r>
        <w:rPr>
          <w:rFonts w:hint="eastAsia" w:ascii="仿宋" w:hAnsi="仿宋" w:eastAsia="仿宋" w:cs="Times New Roman"/>
          <w:color w:val="FF0000"/>
          <w:sz w:val="24"/>
          <w:szCs w:val="24"/>
        </w:rPr>
        <w:t>%</w:t>
      </w:r>
      <w:r>
        <w:rPr>
          <w:rFonts w:hint="eastAsia" w:ascii="仿宋" w:hAnsi="仿宋" w:eastAsia="仿宋" w:cs="Times New Roman"/>
          <w:sz w:val="24"/>
          <w:szCs w:val="24"/>
        </w:rPr>
        <w:t>。</w:t>
      </w:r>
    </w:p>
    <w:p w14:paraId="4CDB3F54">
      <w:pPr>
        <w:numPr>
          <w:ilvl w:val="0"/>
          <w:numId w:val="2"/>
        </w:numPr>
        <w:spacing w:line="360" w:lineRule="auto"/>
        <w:rPr>
          <w:rFonts w:hint="eastAsia" w:ascii="黑体" w:hAnsi="黑体" w:eastAsia="黑体"/>
          <w:sz w:val="24"/>
          <w:szCs w:val="24"/>
        </w:rPr>
      </w:pPr>
      <w:r>
        <w:rPr>
          <w:rFonts w:hint="eastAsia" w:ascii="黑体" w:hAnsi="黑体" w:eastAsia="黑体"/>
          <w:sz w:val="24"/>
          <w:szCs w:val="24"/>
        </w:rPr>
        <w:t>试验验证的分析</w:t>
      </w:r>
      <w:r>
        <w:rPr>
          <w:rFonts w:hint="eastAsia" w:ascii="黑体" w:hAnsi="黑体" w:eastAsia="黑体"/>
          <w:sz w:val="24"/>
          <w:szCs w:val="24"/>
          <w:lang w:eastAsia="zh-CN"/>
        </w:rPr>
        <w:t>、</w:t>
      </w:r>
      <w:r>
        <w:rPr>
          <w:rFonts w:hint="eastAsia" w:ascii="黑体" w:hAnsi="黑体" w:eastAsia="黑体"/>
          <w:sz w:val="24"/>
          <w:szCs w:val="24"/>
        </w:rPr>
        <w:t>技术经济论证</w:t>
      </w:r>
      <w:r>
        <w:rPr>
          <w:rFonts w:hint="eastAsia" w:ascii="黑体" w:hAnsi="黑体" w:eastAsia="黑体"/>
          <w:sz w:val="24"/>
          <w:szCs w:val="24"/>
          <w:lang w:eastAsia="zh-CN"/>
        </w:rPr>
        <w:t>及</w:t>
      </w:r>
      <w:r>
        <w:rPr>
          <w:rFonts w:hint="eastAsia" w:ascii="黑体" w:hAnsi="黑体" w:eastAsia="黑体"/>
          <w:sz w:val="24"/>
          <w:szCs w:val="24"/>
        </w:rPr>
        <w:t>预期的经济效益、社会效益和生态效益</w:t>
      </w:r>
    </w:p>
    <w:p w14:paraId="0A23B811">
      <w:pPr>
        <w:spacing w:line="360" w:lineRule="auto"/>
        <w:ind w:firstLine="480" w:firstLineChars="200"/>
        <w:rPr>
          <w:rFonts w:ascii="楷体" w:hAnsi="楷体" w:eastAsia="楷体"/>
          <w:color w:val="000000" w:themeColor="text1"/>
          <w:sz w:val="24"/>
          <w:szCs w:val="24"/>
          <w14:textFill>
            <w14:solidFill>
              <w14:schemeClr w14:val="tx1"/>
            </w14:solidFill>
          </w14:textFill>
        </w:rPr>
      </w:pPr>
      <w:r>
        <w:rPr>
          <w:rFonts w:hint="eastAsia" w:ascii="楷体" w:hAnsi="楷体" w:eastAsia="楷体"/>
          <w:color w:val="000000" w:themeColor="text1"/>
          <w:sz w:val="24"/>
          <w:szCs w:val="24"/>
          <w14:textFill>
            <w14:solidFill>
              <w14:schemeClr w14:val="tx1"/>
            </w14:solidFill>
          </w14:textFill>
        </w:rPr>
        <w:t>（一）试验验证综述</w:t>
      </w:r>
    </w:p>
    <w:p w14:paraId="61050C1B">
      <w:pPr>
        <w:spacing w:line="360" w:lineRule="auto"/>
        <w:ind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1.基本情况</w:t>
      </w:r>
    </w:p>
    <w:p w14:paraId="6349B672">
      <w:pPr>
        <w:spacing w:line="360" w:lineRule="auto"/>
        <w:ind w:firstLine="480" w:firstLineChars="200"/>
        <w:jc w:val="both"/>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202</w:t>
      </w:r>
      <w:r>
        <w:rPr>
          <w:rFonts w:hint="eastAsia" w:ascii="仿宋" w:hAnsi="仿宋" w:eastAsia="仿宋"/>
          <w:color w:val="000000" w:themeColor="text1"/>
          <w:sz w:val="24"/>
          <w:szCs w:val="24"/>
          <w:lang w:val="en-US" w:eastAsia="zh-CN"/>
          <w14:textFill>
            <w14:solidFill>
              <w14:schemeClr w14:val="tx1"/>
            </w14:solidFill>
          </w14:textFill>
        </w:rPr>
        <w:t>5</w:t>
      </w:r>
      <w:r>
        <w:rPr>
          <w:rFonts w:hint="eastAsia" w:ascii="仿宋" w:hAnsi="仿宋" w:eastAsia="仿宋"/>
          <w:color w:val="000000" w:themeColor="text1"/>
          <w:sz w:val="24"/>
          <w:szCs w:val="24"/>
          <w14:textFill>
            <w14:solidFill>
              <w14:schemeClr w14:val="tx1"/>
            </w14:solidFill>
          </w14:textFill>
        </w:rPr>
        <w:t>年</w:t>
      </w:r>
      <w:r>
        <w:rPr>
          <w:rFonts w:hint="eastAsia" w:ascii="仿宋" w:hAnsi="仿宋" w:eastAsia="仿宋"/>
          <w:color w:val="000000" w:themeColor="text1"/>
          <w:sz w:val="24"/>
          <w:szCs w:val="24"/>
          <w:lang w:val="en-US" w:eastAsia="zh-CN"/>
          <w14:textFill>
            <w14:solidFill>
              <w14:schemeClr w14:val="tx1"/>
            </w14:solidFill>
          </w14:textFill>
        </w:rPr>
        <w:t>10</w:t>
      </w:r>
      <w:r>
        <w:rPr>
          <w:rFonts w:hint="eastAsia" w:ascii="仿宋" w:hAnsi="仿宋" w:eastAsia="仿宋"/>
          <w:color w:val="000000" w:themeColor="text1"/>
          <w:sz w:val="24"/>
          <w:szCs w:val="24"/>
          <w14:textFill>
            <w14:solidFill>
              <w14:schemeClr w14:val="tx1"/>
            </w14:solidFill>
          </w14:textFill>
        </w:rPr>
        <w:t>月至</w:t>
      </w:r>
      <w:r>
        <w:rPr>
          <w:rFonts w:hint="eastAsia" w:ascii="仿宋" w:hAnsi="仿宋" w:eastAsia="仿宋"/>
          <w:color w:val="000000" w:themeColor="text1"/>
          <w:sz w:val="24"/>
          <w:szCs w:val="24"/>
          <w:lang w:val="en-US" w:eastAsia="zh-CN"/>
          <w14:textFill>
            <w14:solidFill>
              <w14:schemeClr w14:val="tx1"/>
            </w14:solidFill>
          </w14:textFill>
        </w:rPr>
        <w:t>2026年6</w:t>
      </w:r>
      <w:r>
        <w:rPr>
          <w:rFonts w:hint="eastAsia" w:ascii="仿宋" w:hAnsi="仿宋" w:eastAsia="仿宋"/>
          <w:color w:val="000000" w:themeColor="text1"/>
          <w:sz w:val="24"/>
          <w:szCs w:val="24"/>
          <w14:textFill>
            <w14:solidFill>
              <w14:schemeClr w14:val="tx1"/>
            </w14:solidFill>
          </w14:textFill>
        </w:rPr>
        <w:t>月，起草组委托</w:t>
      </w:r>
      <w:r>
        <w:rPr>
          <w:rFonts w:hint="eastAsia" w:ascii="仿宋" w:hAnsi="仿宋" w:eastAsia="仿宋"/>
          <w:color w:val="000000" w:themeColor="text1"/>
          <w:sz w:val="24"/>
          <w:szCs w:val="24"/>
          <w:lang w:val="en-US" w:eastAsia="zh-CN"/>
          <w14:textFill>
            <w14:solidFill>
              <w14:schemeClr w14:val="tx1"/>
            </w14:solidFill>
          </w14:textFill>
        </w:rPr>
        <w:t>湖南禹健生物科技有限公司、</w:t>
      </w:r>
      <w:r>
        <w:rPr>
          <w:rFonts w:hint="eastAsia" w:ascii="仿宋" w:hAnsi="仿宋" w:eastAsia="仿宋"/>
          <w:color w:val="000000" w:themeColor="text1"/>
          <w:sz w:val="24"/>
          <w:szCs w:val="24"/>
          <w14:textFill>
            <w14:solidFill>
              <w14:schemeClr w14:val="tx1"/>
            </w14:solidFill>
          </w14:textFill>
        </w:rPr>
        <w:t>湖南今汉药业有限公司</w:t>
      </w:r>
      <w:r>
        <w:rPr>
          <w:rFonts w:hint="eastAsia" w:ascii="仿宋" w:hAnsi="仿宋" w:eastAsia="仿宋"/>
          <w:color w:val="000000" w:themeColor="text1"/>
          <w:sz w:val="24"/>
          <w:szCs w:val="24"/>
          <w:lang w:eastAsia="zh-CN"/>
          <w14:textFill>
            <w14:solidFill>
              <w14:schemeClr w14:val="tx1"/>
            </w14:solidFill>
          </w14:textFill>
        </w:rPr>
        <w:t>、</w:t>
      </w:r>
      <w:r>
        <w:rPr>
          <w:rFonts w:hint="eastAsia" w:ascii="仿宋" w:hAnsi="仿宋" w:eastAsia="仿宋"/>
          <w:color w:val="000000" w:themeColor="text1"/>
          <w:sz w:val="24"/>
          <w:szCs w:val="24"/>
          <w:lang w:val="en-US" w:eastAsia="zh-CN"/>
          <w14:textFill>
            <w14:solidFill>
              <w14:schemeClr w14:val="tx1"/>
            </w14:solidFill>
          </w14:textFill>
        </w:rPr>
        <w:t>中南林业科技大学、</w:t>
      </w:r>
      <w:r>
        <w:rPr>
          <w:rFonts w:hint="eastAsia" w:ascii="仿宋" w:hAnsi="仿宋" w:eastAsia="仿宋"/>
          <w:color w:val="000000" w:themeColor="text1"/>
          <w:sz w:val="24"/>
          <w:szCs w:val="24"/>
          <w14:textFill>
            <w14:solidFill>
              <w14:schemeClr w14:val="tx1"/>
            </w14:solidFill>
          </w14:textFill>
        </w:rPr>
        <w:t>湖南省食用菌研究所</w:t>
      </w:r>
      <w:r>
        <w:rPr>
          <w:rFonts w:hint="eastAsia" w:ascii="仿宋" w:hAnsi="仿宋" w:eastAsia="仿宋"/>
          <w:color w:val="000000" w:themeColor="text1"/>
          <w:sz w:val="24"/>
          <w:szCs w:val="24"/>
          <w:lang w:val="en-US" w:eastAsia="zh-CN"/>
          <w14:textFill>
            <w14:solidFill>
              <w14:schemeClr w14:val="tx1"/>
            </w14:solidFill>
          </w14:textFill>
        </w:rPr>
        <w:t>2家多糖</w:t>
      </w:r>
      <w:r>
        <w:rPr>
          <w:rFonts w:hint="eastAsia" w:ascii="仿宋" w:hAnsi="仿宋" w:eastAsia="仿宋"/>
          <w:color w:val="000000" w:themeColor="text1"/>
          <w:sz w:val="24"/>
          <w:szCs w:val="24"/>
          <w14:textFill>
            <w14:solidFill>
              <w14:schemeClr w14:val="tx1"/>
            </w14:solidFill>
          </w14:textFill>
        </w:rPr>
        <w:t>生产单位和</w:t>
      </w:r>
      <w:r>
        <w:rPr>
          <w:rFonts w:hint="eastAsia" w:ascii="仿宋" w:hAnsi="仿宋" w:eastAsia="仿宋"/>
          <w:color w:val="000000" w:themeColor="text1"/>
          <w:sz w:val="24"/>
          <w:szCs w:val="24"/>
          <w:lang w:val="en-US" w:eastAsia="zh-CN"/>
          <w14:textFill>
            <w14:solidFill>
              <w14:schemeClr w14:val="tx1"/>
            </w14:solidFill>
          </w14:textFill>
        </w:rPr>
        <w:t>1家高校、1家</w:t>
      </w:r>
      <w:r>
        <w:rPr>
          <w:rFonts w:hint="eastAsia" w:ascii="仿宋" w:hAnsi="仿宋" w:eastAsia="仿宋"/>
          <w:color w:val="000000" w:themeColor="text1"/>
          <w:sz w:val="24"/>
          <w:szCs w:val="24"/>
          <w14:textFill>
            <w14:solidFill>
              <w14:schemeClr w14:val="tx1"/>
            </w14:solidFill>
          </w14:textFill>
        </w:rPr>
        <w:t>科研单位，使用</w:t>
      </w:r>
      <w:r>
        <w:rPr>
          <w:rFonts w:hint="eastAsia" w:ascii="仿宋" w:hAnsi="仿宋" w:eastAsia="仿宋"/>
          <w:color w:val="000000" w:themeColor="text1"/>
          <w:sz w:val="24"/>
          <w:szCs w:val="24"/>
          <w:lang w:val="en-US" w:eastAsia="zh-CN"/>
          <w14:textFill>
            <w14:solidFill>
              <w14:schemeClr w14:val="tx1"/>
            </w14:solidFill>
          </w14:textFill>
        </w:rPr>
        <w:t>实验室仪器设备及</w:t>
      </w:r>
      <w:r>
        <w:rPr>
          <w:rFonts w:hint="eastAsia" w:ascii="仿宋" w:hAnsi="仿宋" w:eastAsia="仿宋"/>
          <w:color w:val="000000" w:themeColor="text1"/>
          <w:sz w:val="24"/>
          <w:szCs w:val="24"/>
          <w14:textFill>
            <w14:solidFill>
              <w14:schemeClr w14:val="tx1"/>
            </w14:solidFill>
          </w14:textFill>
        </w:rPr>
        <w:t>生产设施设备</w:t>
      </w:r>
      <w:r>
        <w:rPr>
          <w:rFonts w:hint="eastAsia" w:ascii="仿宋" w:hAnsi="仿宋" w:eastAsia="仿宋"/>
          <w:color w:val="000000" w:themeColor="text1"/>
          <w:sz w:val="24"/>
          <w:szCs w:val="24"/>
          <w:lang w:eastAsia="zh-CN"/>
          <w14:textFill>
            <w14:solidFill>
              <w14:schemeClr w14:val="tx1"/>
            </w14:solidFill>
          </w14:textFill>
        </w:rPr>
        <w:t>，</w:t>
      </w:r>
      <w:r>
        <w:rPr>
          <w:rFonts w:hint="eastAsia" w:ascii="仿宋" w:hAnsi="仿宋" w:eastAsia="仿宋"/>
          <w:color w:val="000000" w:themeColor="text1"/>
          <w:sz w:val="24"/>
          <w:szCs w:val="24"/>
          <w14:textFill>
            <w14:solidFill>
              <w14:schemeClr w14:val="tx1"/>
            </w14:solidFill>
          </w14:textFill>
        </w:rPr>
        <w:t>采用本标准推荐</w:t>
      </w:r>
      <w:r>
        <w:rPr>
          <w:rFonts w:hint="eastAsia" w:ascii="仿宋" w:hAnsi="仿宋" w:eastAsia="仿宋"/>
          <w:color w:val="000000" w:themeColor="text1"/>
          <w:sz w:val="24"/>
          <w:szCs w:val="24"/>
          <w:lang w:val="en-US" w:eastAsia="zh-CN"/>
          <w14:textFill>
            <w14:solidFill>
              <w14:schemeClr w14:val="tx1"/>
            </w14:solidFill>
          </w14:textFill>
        </w:rPr>
        <w:t>提取流程</w:t>
      </w:r>
      <w:r>
        <w:rPr>
          <w:rFonts w:hint="eastAsia" w:ascii="仿宋" w:hAnsi="仿宋" w:eastAsia="仿宋"/>
          <w:color w:val="000000" w:themeColor="text1"/>
          <w:sz w:val="24"/>
          <w:szCs w:val="24"/>
          <w14:textFill>
            <w14:solidFill>
              <w14:schemeClr w14:val="tx1"/>
            </w14:solidFill>
          </w14:textFill>
        </w:rPr>
        <w:t>，按照本标准确定的</w:t>
      </w:r>
      <w:r>
        <w:rPr>
          <w:rFonts w:hint="eastAsia" w:ascii="仿宋" w:hAnsi="仿宋" w:eastAsia="仿宋"/>
          <w:color w:val="000000" w:themeColor="text1"/>
          <w:sz w:val="24"/>
          <w:szCs w:val="24"/>
          <w:lang w:val="en-US" w:eastAsia="zh-CN"/>
          <w14:textFill>
            <w14:solidFill>
              <w14:schemeClr w14:val="tx1"/>
            </w14:solidFill>
          </w14:textFill>
        </w:rPr>
        <w:t>原料准备，生产</w:t>
      </w:r>
      <w:r>
        <w:rPr>
          <w:rFonts w:hint="eastAsia" w:ascii="仿宋" w:hAnsi="仿宋" w:eastAsia="仿宋"/>
          <w:color w:val="000000" w:themeColor="text1"/>
          <w:sz w:val="24"/>
          <w:szCs w:val="24"/>
          <w14:textFill>
            <w14:solidFill>
              <w14:schemeClr w14:val="tx1"/>
            </w14:solidFill>
          </w14:textFill>
        </w:rPr>
        <w:t>工艺、</w:t>
      </w:r>
      <w:r>
        <w:rPr>
          <w:rFonts w:hint="eastAsia" w:ascii="仿宋" w:hAnsi="仿宋" w:eastAsia="仿宋"/>
          <w:color w:val="000000" w:themeColor="text1"/>
          <w:sz w:val="24"/>
          <w:szCs w:val="24"/>
          <w:lang w:val="en-US" w:eastAsia="zh-CN"/>
          <w14:textFill>
            <w14:solidFill>
              <w14:schemeClr w14:val="tx1"/>
            </w14:solidFill>
          </w14:textFill>
        </w:rPr>
        <w:t>提取介质、</w:t>
      </w:r>
      <w:r>
        <w:rPr>
          <w:rFonts w:hint="eastAsia" w:ascii="仿宋" w:hAnsi="仿宋" w:eastAsia="仿宋"/>
          <w:color w:val="000000" w:themeColor="text1"/>
          <w:sz w:val="24"/>
          <w:szCs w:val="24"/>
          <w14:textFill>
            <w14:solidFill>
              <w14:schemeClr w14:val="tx1"/>
            </w14:solidFill>
          </w14:textFill>
        </w:rPr>
        <w:t>技术参数和质量参数开展试验验证。</w:t>
      </w:r>
      <w:r>
        <w:rPr>
          <w:rFonts w:hint="eastAsia" w:ascii="仿宋" w:hAnsi="仿宋" w:eastAsia="仿宋"/>
          <w:color w:val="000000" w:themeColor="text1"/>
          <w:sz w:val="24"/>
          <w:szCs w:val="24"/>
          <w:lang w:val="en-US" w:eastAsia="zh-CN"/>
          <w14:textFill>
            <w14:solidFill>
              <w14:schemeClr w14:val="tx1"/>
            </w14:solidFill>
          </w14:textFill>
        </w:rPr>
        <w:t>4家</w:t>
      </w:r>
      <w:r>
        <w:rPr>
          <w:rFonts w:hint="eastAsia" w:ascii="仿宋" w:hAnsi="仿宋" w:eastAsia="仿宋"/>
          <w:color w:val="000000" w:themeColor="text1"/>
          <w:sz w:val="24"/>
          <w:szCs w:val="24"/>
          <w14:textFill>
            <w14:solidFill>
              <w14:schemeClr w14:val="tx1"/>
            </w14:solidFill>
          </w14:textFill>
        </w:rPr>
        <w:t>验证单位根据</w:t>
      </w:r>
      <w:r>
        <w:rPr>
          <w:rFonts w:hint="eastAsia" w:ascii="仿宋" w:hAnsi="仿宋" w:eastAsia="仿宋"/>
          <w:color w:val="000000" w:themeColor="text1"/>
          <w:sz w:val="24"/>
          <w:szCs w:val="24"/>
          <w:lang w:val="en-US" w:eastAsia="zh-CN"/>
          <w14:textFill>
            <w14:solidFill>
              <w14:schemeClr w14:val="tx1"/>
            </w14:solidFill>
          </w14:textFill>
        </w:rPr>
        <w:t>原料不同</w:t>
      </w:r>
      <w:r>
        <w:rPr>
          <w:rFonts w:hint="eastAsia" w:ascii="仿宋" w:hAnsi="仿宋" w:eastAsia="仿宋"/>
          <w:color w:val="000000" w:themeColor="text1"/>
          <w:sz w:val="24"/>
          <w:szCs w:val="24"/>
          <w14:textFill>
            <w14:solidFill>
              <w14:schemeClr w14:val="tx1"/>
            </w14:solidFill>
          </w14:textFill>
        </w:rPr>
        <w:t>和试验条件、</w:t>
      </w:r>
      <w:r>
        <w:rPr>
          <w:rFonts w:hint="eastAsia" w:ascii="仿宋" w:hAnsi="仿宋" w:eastAsia="仿宋"/>
          <w:color w:val="000000" w:themeColor="text1"/>
          <w:sz w:val="24"/>
          <w:szCs w:val="24"/>
          <w:lang w:val="en-US" w:eastAsia="zh-CN"/>
          <w14:textFill>
            <w14:solidFill>
              <w14:schemeClr w14:val="tx1"/>
            </w14:solidFill>
          </w14:textFill>
        </w:rPr>
        <w:t>技术参数</w:t>
      </w:r>
      <w:r>
        <w:rPr>
          <w:rFonts w:hint="eastAsia" w:ascii="仿宋" w:hAnsi="仿宋" w:eastAsia="仿宋"/>
          <w:color w:val="000000" w:themeColor="text1"/>
          <w:sz w:val="24"/>
          <w:szCs w:val="24"/>
          <w14:textFill>
            <w14:solidFill>
              <w14:schemeClr w14:val="tx1"/>
            </w14:solidFill>
          </w14:textFill>
        </w:rPr>
        <w:t>等因素，受起草组委托分别验证</w:t>
      </w:r>
      <w:r>
        <w:rPr>
          <w:rFonts w:hint="eastAsia" w:ascii="仿宋" w:hAnsi="仿宋" w:eastAsia="仿宋"/>
          <w:color w:val="000000" w:themeColor="text1"/>
          <w:sz w:val="24"/>
          <w:szCs w:val="24"/>
          <w:lang w:val="en-US" w:eastAsia="zh-CN"/>
          <w14:textFill>
            <w14:solidFill>
              <w14:schemeClr w14:val="tx1"/>
            </w14:solidFill>
          </w14:textFill>
        </w:rPr>
        <w:t>多糖提取的原料材质、细度、料液比、提取温度、酶添加、醇沉浓度等</w:t>
      </w:r>
      <w:r>
        <w:rPr>
          <w:rFonts w:hint="eastAsia" w:ascii="仿宋" w:hAnsi="仿宋" w:eastAsia="仿宋"/>
          <w:color w:val="000000" w:themeColor="text1"/>
          <w:sz w:val="24"/>
          <w:szCs w:val="24"/>
          <w14:textFill>
            <w14:solidFill>
              <w14:schemeClr w14:val="tx1"/>
            </w14:solidFill>
          </w14:textFill>
        </w:rPr>
        <w:t>。</w:t>
      </w:r>
    </w:p>
    <w:p w14:paraId="353F3329">
      <w:pPr>
        <w:spacing w:line="360" w:lineRule="auto"/>
        <w:ind w:firstLine="482" w:firstLineChars="200"/>
        <w:rPr>
          <w:rFonts w:hint="eastAsia" w:ascii="仿宋" w:hAnsi="仿宋" w:eastAsia="仿宋"/>
          <w:b/>
          <w:color w:val="000000" w:themeColor="text1"/>
          <w:sz w:val="24"/>
          <w:szCs w:val="24"/>
          <w:lang w:val="en-US" w:eastAsia="zh-CN"/>
          <w14:textFill>
            <w14:solidFill>
              <w14:schemeClr w14:val="tx1"/>
            </w14:solidFill>
          </w14:textFill>
        </w:rPr>
      </w:pPr>
      <w:r>
        <w:rPr>
          <w:rFonts w:hint="eastAsia" w:ascii="仿宋" w:hAnsi="仿宋" w:eastAsia="仿宋"/>
          <w:b/>
          <w:color w:val="000000" w:themeColor="text1"/>
          <w:sz w:val="24"/>
          <w:szCs w:val="24"/>
          <w:lang w:val="en-US" w:eastAsia="zh-CN"/>
          <w14:textFill>
            <w14:solidFill>
              <w14:schemeClr w14:val="tx1"/>
            </w14:solidFill>
          </w14:textFill>
        </w:rPr>
        <w:t>2.原料干燥方式试验验证</w:t>
      </w:r>
    </w:p>
    <w:p w14:paraId="04464764">
      <w:pPr>
        <w:spacing w:line="360" w:lineRule="auto"/>
        <w:ind w:firstLine="480" w:firstLineChars="200"/>
        <w:jc w:val="both"/>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本部分内容主要验证原料的不同干燥方式对蛹虫草多糖提取效率的影响，将热风干燥和真空冷冻干燥所得的蛹虫草原料按照本标准推荐的工艺条件进行多糖提取，根据GB/T15672规定的方法测定总糖含量，计算得率。</w:t>
      </w:r>
    </w:p>
    <w:p w14:paraId="2D2E8B21">
      <w:pPr>
        <w:spacing w:line="360" w:lineRule="auto"/>
        <w:jc w:val="center"/>
      </w:pPr>
      <w:r>
        <w:drawing>
          <wp:inline distT="0" distB="0" distL="114300" distR="114300">
            <wp:extent cx="4137660" cy="2116455"/>
            <wp:effectExtent l="0" t="0" r="15240" b="171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4137660" cy="2116455"/>
                    </a:xfrm>
                    <a:prstGeom prst="rect">
                      <a:avLst/>
                    </a:prstGeom>
                    <a:noFill/>
                    <a:ln>
                      <a:noFill/>
                    </a:ln>
                  </pic:spPr>
                </pic:pic>
              </a:graphicData>
            </a:graphic>
          </wp:inline>
        </w:drawing>
      </w:r>
    </w:p>
    <w:tbl>
      <w:tblPr>
        <w:tblStyle w:val="11"/>
        <w:tblW w:w="74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04"/>
        <w:gridCol w:w="2640"/>
        <w:gridCol w:w="2755"/>
      </w:tblGrid>
      <w:tr w14:paraId="588DD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2104" w:type="dxa"/>
            <w:tcBorders>
              <w:top w:val="single" w:color="000000" w:sz="8" w:space="0"/>
              <w:left w:val="nil"/>
              <w:bottom w:val="single" w:color="000000" w:sz="4" w:space="0"/>
              <w:right w:val="nil"/>
            </w:tcBorders>
            <w:shd w:val="clear" w:color="auto" w:fill="FFFFFF"/>
            <w:noWrap/>
            <w:vAlign w:val="center"/>
          </w:tcPr>
          <w:p w14:paraId="5091D33B">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干燥方式</w:t>
            </w:r>
          </w:p>
        </w:tc>
        <w:tc>
          <w:tcPr>
            <w:tcW w:w="2640" w:type="dxa"/>
            <w:tcBorders>
              <w:top w:val="single" w:color="000000" w:sz="8" w:space="0"/>
              <w:left w:val="nil"/>
              <w:bottom w:val="single" w:color="000000" w:sz="4" w:space="0"/>
              <w:right w:val="nil"/>
            </w:tcBorders>
            <w:shd w:val="clear" w:color="auto" w:fill="FFFFFF"/>
            <w:noWrap/>
            <w:vAlign w:val="center"/>
          </w:tcPr>
          <w:p w14:paraId="47286953">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eastAsia="zh-CN"/>
              </w:rPr>
            </w:pPr>
            <w:r>
              <w:rPr>
                <w:rFonts w:hint="eastAsia" w:ascii="仿宋" w:hAnsi="仿宋" w:eastAsia="仿宋" w:cs="仿宋"/>
                <w:i w:val="0"/>
                <w:iCs w:val="0"/>
                <w:color w:val="000000"/>
                <w:sz w:val="22"/>
                <w:szCs w:val="22"/>
                <w:u w:val="none"/>
                <w:lang w:eastAsia="zh-CN"/>
              </w:rPr>
              <w:t>真空冷冻干燥</w:t>
            </w:r>
          </w:p>
        </w:tc>
        <w:tc>
          <w:tcPr>
            <w:tcW w:w="2755" w:type="dxa"/>
            <w:tcBorders>
              <w:top w:val="single" w:color="000000" w:sz="8" w:space="0"/>
              <w:left w:val="nil"/>
              <w:bottom w:val="single" w:color="000000" w:sz="4" w:space="0"/>
              <w:right w:val="nil"/>
            </w:tcBorders>
            <w:shd w:val="clear" w:color="auto" w:fill="FFFFFF"/>
            <w:noWrap/>
            <w:vAlign w:val="center"/>
          </w:tcPr>
          <w:p w14:paraId="065A47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热风干燥</w:t>
            </w:r>
          </w:p>
        </w:tc>
      </w:tr>
      <w:tr w14:paraId="48A6D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tcBorders>
              <w:top w:val="single" w:color="000000" w:sz="4" w:space="0"/>
              <w:left w:val="nil"/>
              <w:bottom w:val="single" w:color="000000" w:sz="8" w:space="0"/>
              <w:right w:val="nil"/>
            </w:tcBorders>
            <w:shd w:val="clear" w:color="auto" w:fill="FFFFFF"/>
            <w:noWrap/>
            <w:vAlign w:val="center"/>
          </w:tcPr>
          <w:p w14:paraId="12ECC8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提取得率</w:t>
            </w:r>
          </w:p>
        </w:tc>
        <w:tc>
          <w:tcPr>
            <w:tcW w:w="0" w:type="auto"/>
            <w:tcBorders>
              <w:top w:val="single" w:color="000000" w:sz="4" w:space="0"/>
              <w:left w:val="nil"/>
              <w:bottom w:val="single" w:color="000000" w:sz="8" w:space="0"/>
              <w:right w:val="nil"/>
            </w:tcBorders>
            <w:shd w:val="clear" w:color="auto" w:fill="FFFFFF"/>
            <w:noWrap/>
            <w:vAlign w:val="center"/>
          </w:tcPr>
          <w:p w14:paraId="7F33F9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39.96%</w:t>
            </w:r>
          </w:p>
        </w:tc>
        <w:tc>
          <w:tcPr>
            <w:tcW w:w="0" w:type="auto"/>
            <w:tcBorders>
              <w:top w:val="single" w:color="000000" w:sz="4" w:space="0"/>
              <w:left w:val="nil"/>
              <w:bottom w:val="single" w:color="000000" w:sz="8" w:space="0"/>
              <w:right w:val="nil"/>
            </w:tcBorders>
            <w:shd w:val="clear" w:color="auto" w:fill="FFFFFF"/>
            <w:noWrap/>
            <w:vAlign w:val="center"/>
          </w:tcPr>
          <w:p w14:paraId="2455C0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34.56%</w:t>
            </w:r>
          </w:p>
        </w:tc>
      </w:tr>
    </w:tbl>
    <w:p w14:paraId="575C1ACC">
      <w:pPr>
        <w:spacing w:line="360" w:lineRule="auto"/>
        <w:ind w:firstLine="480" w:firstLineChars="200"/>
        <w:jc w:val="both"/>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试验结果证明，热风干燥和真空冷冻干燥对多糖的提取效率无明显差异，均达到标准规定的生产要求。</w:t>
      </w:r>
    </w:p>
    <w:p w14:paraId="35EF7DED">
      <w:pPr>
        <w:spacing w:line="360" w:lineRule="auto"/>
        <w:ind w:firstLine="482" w:firstLineChars="200"/>
        <w:rPr>
          <w:rFonts w:hint="eastAsia"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lang w:val="en-US" w:eastAsia="zh-CN"/>
          <w14:textFill>
            <w14:solidFill>
              <w14:schemeClr w14:val="tx1"/>
            </w14:solidFill>
          </w14:textFill>
        </w:rPr>
        <w:t>3</w:t>
      </w:r>
      <w:r>
        <w:rPr>
          <w:rFonts w:hint="eastAsia"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szCs w:val="24"/>
          <w:lang w:val="en-US" w:eastAsia="zh-CN"/>
          <w14:textFill>
            <w14:solidFill>
              <w14:schemeClr w14:val="tx1"/>
            </w14:solidFill>
          </w14:textFill>
        </w:rPr>
        <w:t>原料预处理</w:t>
      </w:r>
      <w:r>
        <w:rPr>
          <w:rFonts w:hint="eastAsia" w:ascii="仿宋" w:hAnsi="仿宋" w:eastAsia="仿宋"/>
          <w:b/>
          <w:color w:val="000000" w:themeColor="text1"/>
          <w:sz w:val="24"/>
          <w:szCs w:val="24"/>
          <w14:textFill>
            <w14:solidFill>
              <w14:schemeClr w14:val="tx1"/>
            </w14:solidFill>
          </w14:textFill>
        </w:rPr>
        <w:t>试验验证</w:t>
      </w:r>
    </w:p>
    <w:p w14:paraId="4B7E5BA5">
      <w:pPr>
        <w:spacing w:line="360" w:lineRule="auto"/>
        <w:ind w:firstLine="480" w:firstLineChars="200"/>
        <w:jc w:val="both"/>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本部分内容主要验证标准中原料形态对于后续多糖生产效率的影响，试验设计将干燥的蛹虫草原料进行预处理，按照不同处理程度分为细度2cm、细度0.2cm以及细度小于100目的原料组别，按照本标准推荐的工艺条件进行蛹虫草多糖生产，根据GB/T15672规定的方法测定总糖含量，计算得率。</w:t>
      </w:r>
    </w:p>
    <w:p w14:paraId="6254E6A0">
      <w:pPr>
        <w:spacing w:line="360" w:lineRule="auto"/>
        <w:jc w:val="center"/>
        <w:rPr>
          <w:rFonts w:hint="eastAsia" w:ascii="仿宋" w:hAnsi="仿宋" w:eastAsia="仿宋"/>
          <w:color w:val="000000" w:themeColor="text1"/>
          <w:sz w:val="24"/>
          <w:szCs w:val="24"/>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230370" cy="3258185"/>
            <wp:effectExtent l="0" t="0" r="17780" b="184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4230370" cy="3258185"/>
                    </a:xfrm>
                    <a:prstGeom prst="rect">
                      <a:avLst/>
                    </a:prstGeom>
                    <a:noFill/>
                    <a:ln>
                      <a:noFill/>
                    </a:ln>
                  </pic:spPr>
                </pic:pic>
              </a:graphicData>
            </a:graphic>
          </wp:inline>
        </w:drawing>
      </w:r>
    </w:p>
    <w:tbl>
      <w:tblPr>
        <w:tblStyle w:val="11"/>
        <w:tblW w:w="82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50"/>
        <w:gridCol w:w="2070"/>
        <w:gridCol w:w="2160"/>
        <w:gridCol w:w="2385"/>
      </w:tblGrid>
      <w:tr w14:paraId="14869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650" w:type="dxa"/>
            <w:tcBorders>
              <w:top w:val="single" w:color="000000" w:sz="8" w:space="0"/>
              <w:left w:val="nil"/>
              <w:bottom w:val="single" w:color="000000" w:sz="4" w:space="0"/>
              <w:right w:val="nil"/>
            </w:tcBorders>
            <w:shd w:val="clear" w:color="auto" w:fill="FFFFFF"/>
            <w:noWrap/>
            <w:vAlign w:val="center"/>
          </w:tcPr>
          <w:p w14:paraId="7D5F64EA">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细度处理</w:t>
            </w:r>
          </w:p>
        </w:tc>
        <w:tc>
          <w:tcPr>
            <w:tcW w:w="2070" w:type="dxa"/>
            <w:tcBorders>
              <w:top w:val="single" w:color="000000" w:sz="8" w:space="0"/>
              <w:left w:val="nil"/>
              <w:bottom w:val="single" w:color="000000" w:sz="4" w:space="0"/>
              <w:right w:val="nil"/>
            </w:tcBorders>
            <w:shd w:val="clear" w:color="auto" w:fill="FFFFFF"/>
            <w:noWrap/>
            <w:vAlign w:val="center"/>
          </w:tcPr>
          <w:p w14:paraId="6364A6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细度2cm</w:t>
            </w:r>
          </w:p>
        </w:tc>
        <w:tc>
          <w:tcPr>
            <w:tcW w:w="2160" w:type="dxa"/>
            <w:tcBorders>
              <w:top w:val="single" w:color="000000" w:sz="8" w:space="0"/>
              <w:left w:val="nil"/>
              <w:bottom w:val="single" w:color="000000" w:sz="4" w:space="0"/>
              <w:right w:val="nil"/>
            </w:tcBorders>
            <w:shd w:val="clear" w:color="auto" w:fill="FFFFFF"/>
            <w:noWrap/>
            <w:vAlign w:val="center"/>
          </w:tcPr>
          <w:p w14:paraId="3B55A4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细度0.2cm</w:t>
            </w:r>
          </w:p>
        </w:tc>
        <w:tc>
          <w:tcPr>
            <w:tcW w:w="2385" w:type="dxa"/>
            <w:tcBorders>
              <w:top w:val="single" w:color="000000" w:sz="8" w:space="0"/>
              <w:left w:val="nil"/>
              <w:bottom w:val="single" w:color="000000" w:sz="4" w:space="0"/>
              <w:right w:val="nil"/>
            </w:tcBorders>
            <w:shd w:val="clear" w:color="auto" w:fill="FFFFFF"/>
            <w:noWrap/>
            <w:vAlign w:val="center"/>
          </w:tcPr>
          <w:p w14:paraId="6149CC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粉末（＜100目）</w:t>
            </w:r>
          </w:p>
        </w:tc>
      </w:tr>
      <w:tr w14:paraId="4C8D6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tcBorders>
              <w:top w:val="single" w:color="000000" w:sz="4" w:space="0"/>
              <w:left w:val="nil"/>
              <w:bottom w:val="single" w:color="000000" w:sz="8" w:space="0"/>
              <w:right w:val="nil"/>
            </w:tcBorders>
            <w:shd w:val="clear" w:color="auto" w:fill="FFFFFF"/>
            <w:noWrap/>
            <w:vAlign w:val="center"/>
          </w:tcPr>
          <w:p w14:paraId="0E8085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提取得率</w:t>
            </w:r>
          </w:p>
        </w:tc>
        <w:tc>
          <w:tcPr>
            <w:tcW w:w="0" w:type="auto"/>
            <w:tcBorders>
              <w:top w:val="single" w:color="000000" w:sz="4" w:space="0"/>
              <w:left w:val="nil"/>
              <w:bottom w:val="single" w:color="000000" w:sz="8" w:space="0"/>
              <w:right w:val="nil"/>
            </w:tcBorders>
            <w:shd w:val="clear" w:color="auto" w:fill="FFFFFF"/>
            <w:noWrap/>
            <w:vAlign w:val="center"/>
          </w:tcPr>
          <w:p w14:paraId="255E8B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30.96%</w:t>
            </w:r>
          </w:p>
        </w:tc>
        <w:tc>
          <w:tcPr>
            <w:tcW w:w="0" w:type="auto"/>
            <w:tcBorders>
              <w:top w:val="single" w:color="000000" w:sz="4" w:space="0"/>
              <w:left w:val="nil"/>
              <w:bottom w:val="single" w:color="000000" w:sz="8" w:space="0"/>
              <w:right w:val="nil"/>
            </w:tcBorders>
            <w:shd w:val="clear" w:color="auto" w:fill="FFFFFF"/>
            <w:noWrap/>
            <w:vAlign w:val="center"/>
          </w:tcPr>
          <w:p w14:paraId="475866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36.30%</w:t>
            </w:r>
          </w:p>
        </w:tc>
        <w:tc>
          <w:tcPr>
            <w:tcW w:w="0" w:type="auto"/>
            <w:tcBorders>
              <w:top w:val="single" w:color="000000" w:sz="4" w:space="0"/>
              <w:left w:val="nil"/>
              <w:bottom w:val="single" w:color="000000" w:sz="8" w:space="0"/>
              <w:right w:val="nil"/>
            </w:tcBorders>
            <w:shd w:val="clear" w:color="auto" w:fill="FFFFFF"/>
            <w:noWrap/>
            <w:vAlign w:val="center"/>
          </w:tcPr>
          <w:p w14:paraId="4240E3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43.80%</w:t>
            </w:r>
          </w:p>
        </w:tc>
      </w:tr>
    </w:tbl>
    <w:p w14:paraId="2DD06C8C">
      <w:pPr>
        <w:spacing w:line="360" w:lineRule="auto"/>
        <w:ind w:firstLine="480" w:firstLineChars="200"/>
        <w:jc w:val="both"/>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试验结果表明，在蛹虫草原料细度为2cm、0.2cm、小于100目的不同处理条件下，多糖的得率分别为30.96%、36.3%、43.80%，提取效率良好，达到标准规定的生产要求。</w:t>
      </w:r>
    </w:p>
    <w:p w14:paraId="614E1F7A">
      <w:pPr>
        <w:spacing w:line="360" w:lineRule="auto"/>
        <w:ind w:firstLine="482" w:firstLineChars="200"/>
        <w:jc w:val="both"/>
        <w:rPr>
          <w:rFonts w:hint="eastAsia" w:ascii="仿宋" w:hAnsi="仿宋" w:eastAsia="仿宋"/>
          <w:b/>
          <w:bCs/>
          <w:color w:val="000000" w:themeColor="text1"/>
          <w:sz w:val="24"/>
          <w:szCs w:val="24"/>
          <w:lang w:val="en-US" w:eastAsia="zh-CN"/>
          <w14:textFill>
            <w14:solidFill>
              <w14:schemeClr w14:val="tx1"/>
            </w14:solidFill>
          </w14:textFill>
        </w:rPr>
      </w:pPr>
      <w:r>
        <w:rPr>
          <w:rFonts w:hint="eastAsia" w:ascii="仿宋" w:hAnsi="仿宋" w:eastAsia="仿宋"/>
          <w:b/>
          <w:bCs/>
          <w:color w:val="000000" w:themeColor="text1"/>
          <w:sz w:val="24"/>
          <w:szCs w:val="24"/>
          <w:lang w:val="en-US" w:eastAsia="zh-CN"/>
          <w14:textFill>
            <w14:solidFill>
              <w14:schemeClr w14:val="tx1"/>
            </w14:solidFill>
          </w14:textFill>
        </w:rPr>
        <w:t>4.提取料液比试验验证</w:t>
      </w:r>
    </w:p>
    <w:p w14:paraId="7CD46D13">
      <w:pPr>
        <w:spacing w:line="360" w:lineRule="auto"/>
        <w:ind w:firstLine="480" w:firstLineChars="200"/>
        <w:jc w:val="both"/>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本部分内容主要验证标准中料液比对蛹虫草多糖生产效率的影响，试验设计三组料液比提取条件，分别为1:10、1:20、1:30，按照本标准推荐的工艺条件进行蛹虫草多糖生产，根据GB/T15672规定的方法测定总糖含量，计算得率。</w:t>
      </w:r>
    </w:p>
    <w:tbl>
      <w:tblPr>
        <w:tblStyle w:val="11"/>
        <w:tblW w:w="88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90"/>
        <w:gridCol w:w="2070"/>
        <w:gridCol w:w="2160"/>
        <w:gridCol w:w="2385"/>
      </w:tblGrid>
      <w:tr w14:paraId="20308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190" w:type="dxa"/>
            <w:tcBorders>
              <w:top w:val="single" w:color="000000" w:sz="8" w:space="0"/>
              <w:left w:val="nil"/>
              <w:bottom w:val="single" w:color="000000" w:sz="4" w:space="0"/>
              <w:right w:val="nil"/>
            </w:tcBorders>
            <w:shd w:val="clear" w:color="auto" w:fill="FFFFFF"/>
            <w:noWrap/>
            <w:vAlign w:val="center"/>
          </w:tcPr>
          <w:p w14:paraId="3AFF1C96">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料液比处理</w:t>
            </w:r>
          </w:p>
        </w:tc>
        <w:tc>
          <w:tcPr>
            <w:tcW w:w="2070" w:type="dxa"/>
            <w:tcBorders>
              <w:top w:val="single" w:color="000000" w:sz="8" w:space="0"/>
              <w:left w:val="nil"/>
              <w:bottom w:val="single" w:color="000000" w:sz="4" w:space="0"/>
              <w:right w:val="nil"/>
            </w:tcBorders>
            <w:shd w:val="clear" w:color="auto" w:fill="FFFFFF"/>
            <w:noWrap/>
            <w:vAlign w:val="center"/>
          </w:tcPr>
          <w:p w14:paraId="67D6348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仿宋" w:hAnsi="仿宋" w:eastAsia="仿宋" w:cs="仿宋"/>
                <w:i w:val="0"/>
                <w:iCs w:val="0"/>
                <w:snapToGrid w:val="0"/>
                <w:color w:val="000000"/>
                <w:kern w:val="0"/>
                <w:sz w:val="22"/>
                <w:szCs w:val="22"/>
                <w:u w:val="none"/>
                <w:lang w:val="en-US" w:eastAsia="zh-CN" w:bidi="ar"/>
              </w:rPr>
              <w:t>1:10</w:t>
            </w:r>
          </w:p>
        </w:tc>
        <w:tc>
          <w:tcPr>
            <w:tcW w:w="2160" w:type="dxa"/>
            <w:tcBorders>
              <w:top w:val="single" w:color="000000" w:sz="8" w:space="0"/>
              <w:left w:val="nil"/>
              <w:bottom w:val="single" w:color="000000" w:sz="4" w:space="0"/>
              <w:right w:val="nil"/>
            </w:tcBorders>
            <w:shd w:val="clear" w:color="auto" w:fill="FFFFFF"/>
            <w:noWrap/>
            <w:vAlign w:val="center"/>
          </w:tcPr>
          <w:p w14:paraId="191009EA">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仿宋" w:hAnsi="仿宋" w:eastAsia="仿宋" w:cs="仿宋"/>
                <w:i w:val="0"/>
                <w:iCs w:val="0"/>
                <w:snapToGrid w:val="0"/>
                <w:color w:val="000000"/>
                <w:kern w:val="0"/>
                <w:sz w:val="22"/>
                <w:szCs w:val="22"/>
                <w:u w:val="none"/>
                <w:lang w:val="en-US" w:eastAsia="zh-CN" w:bidi="ar"/>
              </w:rPr>
              <w:t>1:20</w:t>
            </w:r>
          </w:p>
        </w:tc>
        <w:tc>
          <w:tcPr>
            <w:tcW w:w="2385" w:type="dxa"/>
            <w:tcBorders>
              <w:top w:val="single" w:color="000000" w:sz="8" w:space="0"/>
              <w:left w:val="nil"/>
              <w:bottom w:val="single" w:color="000000" w:sz="4" w:space="0"/>
              <w:right w:val="nil"/>
            </w:tcBorders>
            <w:shd w:val="clear" w:color="auto" w:fill="FFFFFF"/>
            <w:noWrap/>
            <w:vAlign w:val="center"/>
          </w:tcPr>
          <w:p w14:paraId="0A627D5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仿宋" w:hAnsi="仿宋" w:eastAsia="仿宋" w:cs="仿宋"/>
                <w:i w:val="0"/>
                <w:iCs w:val="0"/>
                <w:snapToGrid w:val="0"/>
                <w:color w:val="000000"/>
                <w:kern w:val="0"/>
                <w:sz w:val="22"/>
                <w:szCs w:val="22"/>
                <w:u w:val="none"/>
                <w:lang w:val="en-US" w:eastAsia="zh-CN" w:bidi="ar"/>
              </w:rPr>
              <w:t>1：30</w:t>
            </w:r>
          </w:p>
        </w:tc>
      </w:tr>
      <w:tr w14:paraId="1B6C6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nil"/>
              <w:bottom w:val="single" w:color="000000" w:sz="8" w:space="0"/>
              <w:right w:val="nil"/>
            </w:tcBorders>
            <w:shd w:val="clear" w:color="auto" w:fill="FFFFFF"/>
            <w:noWrap/>
            <w:vAlign w:val="center"/>
          </w:tcPr>
          <w:p w14:paraId="1D89FA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提取得率</w:t>
            </w:r>
          </w:p>
        </w:tc>
        <w:tc>
          <w:tcPr>
            <w:tcW w:w="0" w:type="auto"/>
            <w:tcBorders>
              <w:top w:val="single" w:color="000000" w:sz="4" w:space="0"/>
              <w:left w:val="nil"/>
              <w:bottom w:val="single" w:color="000000" w:sz="8" w:space="0"/>
              <w:right w:val="nil"/>
            </w:tcBorders>
            <w:shd w:val="clear" w:color="auto" w:fill="FFFFFF"/>
            <w:noWrap/>
            <w:vAlign w:val="center"/>
          </w:tcPr>
          <w:p w14:paraId="3C1EB4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37.02%</w:t>
            </w:r>
          </w:p>
        </w:tc>
        <w:tc>
          <w:tcPr>
            <w:tcW w:w="0" w:type="auto"/>
            <w:tcBorders>
              <w:top w:val="single" w:color="000000" w:sz="4" w:space="0"/>
              <w:left w:val="nil"/>
              <w:bottom w:val="single" w:color="000000" w:sz="8" w:space="0"/>
              <w:right w:val="nil"/>
            </w:tcBorders>
            <w:shd w:val="clear" w:color="auto" w:fill="FFFFFF"/>
            <w:noWrap/>
            <w:vAlign w:val="center"/>
          </w:tcPr>
          <w:p w14:paraId="71ABB7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39.65%</w:t>
            </w:r>
          </w:p>
        </w:tc>
        <w:tc>
          <w:tcPr>
            <w:tcW w:w="0" w:type="auto"/>
            <w:tcBorders>
              <w:top w:val="single" w:color="000000" w:sz="4" w:space="0"/>
              <w:left w:val="nil"/>
              <w:bottom w:val="single" w:color="000000" w:sz="8" w:space="0"/>
              <w:right w:val="nil"/>
            </w:tcBorders>
            <w:shd w:val="clear" w:color="auto" w:fill="FFFFFF"/>
            <w:noWrap/>
            <w:vAlign w:val="center"/>
          </w:tcPr>
          <w:p w14:paraId="3C213D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43.80%</w:t>
            </w:r>
          </w:p>
        </w:tc>
      </w:tr>
    </w:tbl>
    <w:p w14:paraId="6CFB1509">
      <w:pPr>
        <w:spacing w:line="360" w:lineRule="auto"/>
        <w:ind w:firstLine="480" w:firstLineChars="200"/>
        <w:jc w:val="both"/>
        <w:rPr>
          <w:rFonts w:hint="default"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试验结果表明，料液比为1:10、1:20、1:30的工艺条件下多糖得率分别为39.65%、37.02%、43.80%，提取效率良好，达到标准规定的生产要求。</w:t>
      </w:r>
    </w:p>
    <w:p w14:paraId="66B1F85B">
      <w:pPr>
        <w:spacing w:line="360" w:lineRule="auto"/>
        <w:ind w:firstLine="482" w:firstLineChars="200"/>
        <w:jc w:val="both"/>
        <w:rPr>
          <w:rFonts w:hint="eastAsia" w:ascii="仿宋" w:hAnsi="仿宋" w:eastAsia="仿宋"/>
          <w:b/>
          <w:bCs/>
          <w:color w:val="000000" w:themeColor="text1"/>
          <w:sz w:val="24"/>
          <w:szCs w:val="24"/>
          <w:lang w:val="en-US" w:eastAsia="zh-CN"/>
          <w14:textFill>
            <w14:solidFill>
              <w14:schemeClr w14:val="tx1"/>
            </w14:solidFill>
          </w14:textFill>
        </w:rPr>
      </w:pPr>
      <w:r>
        <w:rPr>
          <w:rFonts w:hint="eastAsia" w:ascii="仿宋" w:hAnsi="仿宋" w:eastAsia="仿宋"/>
          <w:b/>
          <w:bCs/>
          <w:color w:val="000000" w:themeColor="text1"/>
          <w:sz w:val="24"/>
          <w:szCs w:val="24"/>
          <w:lang w:val="en-US" w:eastAsia="zh-CN"/>
          <w14:textFill>
            <w14:solidFill>
              <w14:schemeClr w14:val="tx1"/>
            </w14:solidFill>
          </w14:textFill>
        </w:rPr>
        <w:t>5.提取温度试验验证</w:t>
      </w:r>
    </w:p>
    <w:p w14:paraId="413374B2">
      <w:pPr>
        <w:spacing w:line="360" w:lineRule="auto"/>
        <w:ind w:firstLine="480" w:firstLineChars="200"/>
        <w:jc w:val="both"/>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本部分内容主要验证标准中提取温度对蛹虫草多糖生产效率的影响，试验设计三组提取温度提取条件，分别为60</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80℃、100℃</w:t>
      </w:r>
      <w:r>
        <w:rPr>
          <w:rFonts w:hint="eastAsia" w:ascii="仿宋" w:hAnsi="仿宋" w:eastAsia="仿宋"/>
          <w:color w:val="000000" w:themeColor="text1"/>
          <w:sz w:val="24"/>
          <w:szCs w:val="24"/>
          <w:lang w:val="en-US" w:eastAsia="zh-CN"/>
          <w14:textFill>
            <w14:solidFill>
              <w14:schemeClr w14:val="tx1"/>
            </w14:solidFill>
          </w14:textFill>
        </w:rPr>
        <w:t>，按照本标准推荐的工艺条件进行蛹虫草多糖生产，根据GB/T15672规定的方法测定总糖含量，计算得率。</w:t>
      </w:r>
    </w:p>
    <w:tbl>
      <w:tblPr>
        <w:tblStyle w:val="11"/>
        <w:tblW w:w="88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90"/>
        <w:gridCol w:w="2070"/>
        <w:gridCol w:w="2160"/>
        <w:gridCol w:w="2385"/>
      </w:tblGrid>
      <w:tr w14:paraId="07057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190" w:type="dxa"/>
            <w:tcBorders>
              <w:top w:val="single" w:color="000000" w:sz="8" w:space="0"/>
              <w:left w:val="nil"/>
              <w:bottom w:val="single" w:color="000000" w:sz="4" w:space="0"/>
              <w:right w:val="nil"/>
            </w:tcBorders>
            <w:shd w:val="clear" w:color="auto" w:fill="FFFFFF"/>
            <w:noWrap/>
            <w:vAlign w:val="center"/>
          </w:tcPr>
          <w:p w14:paraId="5E700F7A">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温度处理</w:t>
            </w:r>
          </w:p>
        </w:tc>
        <w:tc>
          <w:tcPr>
            <w:tcW w:w="2070" w:type="dxa"/>
            <w:tcBorders>
              <w:top w:val="single" w:color="000000" w:sz="8" w:space="0"/>
              <w:left w:val="nil"/>
              <w:bottom w:val="single" w:color="000000" w:sz="4" w:space="0"/>
              <w:right w:val="nil"/>
            </w:tcBorders>
            <w:shd w:val="clear" w:color="auto" w:fill="FFFFFF"/>
            <w:noWrap/>
            <w:vAlign w:val="center"/>
          </w:tcPr>
          <w:p w14:paraId="16F445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2160" w:type="dxa"/>
            <w:tcBorders>
              <w:top w:val="single" w:color="000000" w:sz="8" w:space="0"/>
              <w:left w:val="nil"/>
              <w:bottom w:val="single" w:color="000000" w:sz="4" w:space="0"/>
              <w:right w:val="nil"/>
            </w:tcBorders>
            <w:shd w:val="clear" w:color="auto" w:fill="FFFFFF"/>
            <w:noWrap/>
            <w:vAlign w:val="center"/>
          </w:tcPr>
          <w:p w14:paraId="01A59A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2385" w:type="dxa"/>
            <w:tcBorders>
              <w:top w:val="single" w:color="000000" w:sz="8" w:space="0"/>
              <w:left w:val="nil"/>
              <w:bottom w:val="single" w:color="000000" w:sz="4" w:space="0"/>
              <w:right w:val="nil"/>
            </w:tcBorders>
            <w:shd w:val="clear" w:color="auto" w:fill="FFFFFF"/>
            <w:noWrap/>
            <w:vAlign w:val="center"/>
          </w:tcPr>
          <w:p w14:paraId="158389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100℃</w:t>
            </w:r>
          </w:p>
        </w:tc>
      </w:tr>
      <w:tr w14:paraId="5666D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nil"/>
              <w:bottom w:val="single" w:color="000000" w:sz="8" w:space="0"/>
              <w:right w:val="nil"/>
            </w:tcBorders>
            <w:shd w:val="clear" w:color="auto" w:fill="FFFFFF"/>
            <w:noWrap/>
            <w:vAlign w:val="center"/>
          </w:tcPr>
          <w:p w14:paraId="47792E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提取得率</w:t>
            </w:r>
          </w:p>
        </w:tc>
        <w:tc>
          <w:tcPr>
            <w:tcW w:w="0" w:type="auto"/>
            <w:tcBorders>
              <w:top w:val="single" w:color="000000" w:sz="4" w:space="0"/>
              <w:left w:val="nil"/>
              <w:bottom w:val="single" w:color="000000" w:sz="8" w:space="0"/>
              <w:right w:val="nil"/>
            </w:tcBorders>
            <w:shd w:val="clear" w:color="auto" w:fill="FFFFFF"/>
            <w:noWrap/>
            <w:vAlign w:val="center"/>
          </w:tcPr>
          <w:p w14:paraId="6129C5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28.11%</w:t>
            </w:r>
          </w:p>
        </w:tc>
        <w:tc>
          <w:tcPr>
            <w:tcW w:w="0" w:type="auto"/>
            <w:tcBorders>
              <w:top w:val="single" w:color="000000" w:sz="4" w:space="0"/>
              <w:left w:val="nil"/>
              <w:bottom w:val="single" w:color="000000" w:sz="8" w:space="0"/>
              <w:right w:val="nil"/>
            </w:tcBorders>
            <w:shd w:val="clear" w:color="auto" w:fill="FFFFFF"/>
            <w:noWrap/>
            <w:vAlign w:val="center"/>
          </w:tcPr>
          <w:p w14:paraId="705F29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43.80%</w:t>
            </w:r>
          </w:p>
        </w:tc>
        <w:tc>
          <w:tcPr>
            <w:tcW w:w="0" w:type="auto"/>
            <w:tcBorders>
              <w:top w:val="single" w:color="000000" w:sz="4" w:space="0"/>
              <w:left w:val="nil"/>
              <w:bottom w:val="single" w:color="000000" w:sz="8" w:space="0"/>
              <w:right w:val="nil"/>
            </w:tcBorders>
            <w:shd w:val="clear" w:color="auto" w:fill="FFFFFF"/>
            <w:noWrap/>
            <w:vAlign w:val="center"/>
          </w:tcPr>
          <w:p w14:paraId="28EB1C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45.47%</w:t>
            </w:r>
          </w:p>
        </w:tc>
      </w:tr>
    </w:tbl>
    <w:p w14:paraId="61639565">
      <w:pPr>
        <w:spacing w:line="360" w:lineRule="auto"/>
        <w:ind w:firstLine="480" w:firstLineChars="200"/>
        <w:jc w:val="both"/>
        <w:rPr>
          <w:rFonts w:hint="default"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试验结果表明，提取温度为60</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80℃、100℃的多糖提取得率分别为28.11%、43.80%、45.47，提取效率良好，</w:t>
      </w:r>
      <w:r>
        <w:rPr>
          <w:rFonts w:hint="eastAsia" w:ascii="仿宋" w:hAnsi="仿宋" w:eastAsia="仿宋"/>
          <w:color w:val="000000" w:themeColor="text1"/>
          <w:sz w:val="24"/>
          <w:szCs w:val="24"/>
          <w:lang w:val="en-US" w:eastAsia="zh-CN"/>
          <w14:textFill>
            <w14:solidFill>
              <w14:schemeClr w14:val="tx1"/>
            </w14:solidFill>
          </w14:textFill>
        </w:rPr>
        <w:t>达到标准规定的生产要求。</w:t>
      </w:r>
    </w:p>
    <w:p w14:paraId="457D0B68">
      <w:pPr>
        <w:spacing w:line="360" w:lineRule="auto"/>
        <w:ind w:firstLine="482" w:firstLineChars="200"/>
        <w:jc w:val="both"/>
        <w:rPr>
          <w:rFonts w:hint="default" w:ascii="仿宋" w:hAnsi="仿宋" w:eastAsia="仿宋"/>
          <w:b/>
          <w:bCs/>
          <w:color w:val="000000" w:themeColor="text1"/>
          <w:sz w:val="24"/>
          <w:szCs w:val="24"/>
          <w:lang w:val="en-US" w:eastAsia="zh-CN"/>
          <w14:textFill>
            <w14:solidFill>
              <w14:schemeClr w14:val="tx1"/>
            </w14:solidFill>
          </w14:textFill>
        </w:rPr>
      </w:pPr>
      <w:r>
        <w:rPr>
          <w:rFonts w:hint="eastAsia" w:ascii="仿宋" w:hAnsi="仿宋" w:eastAsia="仿宋"/>
          <w:b/>
          <w:bCs/>
          <w:color w:val="000000" w:themeColor="text1"/>
          <w:sz w:val="24"/>
          <w:szCs w:val="24"/>
          <w:lang w:val="en-US" w:eastAsia="zh-CN"/>
          <w14:textFill>
            <w14:solidFill>
              <w14:schemeClr w14:val="tx1"/>
            </w14:solidFill>
          </w14:textFill>
        </w:rPr>
        <w:t>6.醇沉乙醇浓度试验验证</w:t>
      </w:r>
    </w:p>
    <w:p w14:paraId="71A6A538">
      <w:pPr>
        <w:spacing w:line="360" w:lineRule="auto"/>
        <w:ind w:firstLine="480" w:firstLineChars="200"/>
        <w:jc w:val="both"/>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本部分内容主要验证标准中不同乙醇浓度沉淀多糖的效率，按照本标准推荐的工艺条件进行蛹虫草多糖的提取，分别采用50%、65%、80%的乙醇终浓度对多糖提取液进行沉淀，得到沉淀冷冻干燥后GB/T15672规定的方法测定总糖含量，计算得率。</w:t>
      </w:r>
    </w:p>
    <w:p w14:paraId="17D6BDD6">
      <w:pPr>
        <w:spacing w:line="360" w:lineRule="auto"/>
        <w:jc w:val="both"/>
      </w:pPr>
      <w:r>
        <w:drawing>
          <wp:inline distT="0" distB="0" distL="114300" distR="114300">
            <wp:extent cx="5613400" cy="1431290"/>
            <wp:effectExtent l="0" t="0" r="6350" b="165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5613400" cy="1431290"/>
                    </a:xfrm>
                    <a:prstGeom prst="rect">
                      <a:avLst/>
                    </a:prstGeom>
                    <a:noFill/>
                    <a:ln>
                      <a:noFill/>
                    </a:ln>
                  </pic:spPr>
                </pic:pic>
              </a:graphicData>
            </a:graphic>
          </wp:inline>
        </w:drawing>
      </w:r>
    </w:p>
    <w:p w14:paraId="016612BF">
      <w:pPr>
        <w:spacing w:line="360" w:lineRule="auto"/>
        <w:jc w:val="both"/>
        <w:rPr>
          <w:rFonts w:hint="default"/>
          <w:lang w:val="en-US" w:eastAsia="zh-CN"/>
        </w:rPr>
      </w:pPr>
      <w:r>
        <w:drawing>
          <wp:inline distT="0" distB="0" distL="114300" distR="114300">
            <wp:extent cx="5610860" cy="208407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rcRect b="11987"/>
                    <a:stretch>
                      <a:fillRect/>
                    </a:stretch>
                  </pic:blipFill>
                  <pic:spPr>
                    <a:xfrm>
                      <a:off x="0" y="0"/>
                      <a:ext cx="5610860" cy="2084070"/>
                    </a:xfrm>
                    <a:prstGeom prst="rect">
                      <a:avLst/>
                    </a:prstGeom>
                    <a:noFill/>
                    <a:ln>
                      <a:noFill/>
                    </a:ln>
                  </pic:spPr>
                </pic:pic>
              </a:graphicData>
            </a:graphic>
          </wp:inline>
        </w:drawing>
      </w:r>
    </w:p>
    <w:tbl>
      <w:tblPr>
        <w:tblStyle w:val="11"/>
        <w:tblW w:w="88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90"/>
        <w:gridCol w:w="2070"/>
        <w:gridCol w:w="2160"/>
        <w:gridCol w:w="2385"/>
      </w:tblGrid>
      <w:tr w14:paraId="67AE0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190" w:type="dxa"/>
            <w:tcBorders>
              <w:top w:val="single" w:color="000000" w:sz="8" w:space="0"/>
              <w:left w:val="nil"/>
              <w:bottom w:val="single" w:color="000000" w:sz="4" w:space="0"/>
              <w:right w:val="nil"/>
            </w:tcBorders>
            <w:shd w:val="clear" w:color="auto" w:fill="FFFFFF"/>
            <w:noWrap/>
            <w:vAlign w:val="center"/>
          </w:tcPr>
          <w:p w14:paraId="11C53FAE">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乙醇浓度</w:t>
            </w:r>
          </w:p>
        </w:tc>
        <w:tc>
          <w:tcPr>
            <w:tcW w:w="2070" w:type="dxa"/>
            <w:tcBorders>
              <w:top w:val="single" w:color="000000" w:sz="8" w:space="0"/>
              <w:left w:val="nil"/>
              <w:bottom w:val="single" w:color="000000" w:sz="4" w:space="0"/>
              <w:right w:val="nil"/>
            </w:tcBorders>
            <w:shd w:val="clear" w:color="auto" w:fill="FFFFFF"/>
            <w:noWrap/>
            <w:vAlign w:val="center"/>
          </w:tcPr>
          <w:p w14:paraId="075313D2">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仿宋" w:hAnsi="仿宋" w:eastAsia="仿宋" w:cs="仿宋"/>
                <w:i w:val="0"/>
                <w:iCs w:val="0"/>
                <w:snapToGrid w:val="0"/>
                <w:color w:val="000000"/>
                <w:kern w:val="0"/>
                <w:sz w:val="22"/>
                <w:szCs w:val="22"/>
                <w:u w:val="none"/>
                <w:lang w:val="en-US" w:eastAsia="zh-CN" w:bidi="ar"/>
              </w:rPr>
              <w:t>50%</w:t>
            </w:r>
          </w:p>
        </w:tc>
        <w:tc>
          <w:tcPr>
            <w:tcW w:w="2160" w:type="dxa"/>
            <w:tcBorders>
              <w:top w:val="single" w:color="000000" w:sz="8" w:space="0"/>
              <w:left w:val="nil"/>
              <w:bottom w:val="single" w:color="000000" w:sz="4" w:space="0"/>
              <w:right w:val="nil"/>
            </w:tcBorders>
            <w:shd w:val="clear" w:color="auto" w:fill="FFFFFF"/>
            <w:noWrap/>
            <w:vAlign w:val="center"/>
          </w:tcPr>
          <w:p w14:paraId="6AB0785F">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65%</w:t>
            </w:r>
          </w:p>
        </w:tc>
        <w:tc>
          <w:tcPr>
            <w:tcW w:w="2385" w:type="dxa"/>
            <w:tcBorders>
              <w:top w:val="single" w:color="000000" w:sz="8" w:space="0"/>
              <w:left w:val="nil"/>
              <w:bottom w:val="single" w:color="000000" w:sz="4" w:space="0"/>
              <w:right w:val="nil"/>
            </w:tcBorders>
            <w:shd w:val="clear" w:color="auto" w:fill="FFFFFF"/>
            <w:noWrap/>
            <w:vAlign w:val="center"/>
          </w:tcPr>
          <w:p w14:paraId="2424A6E6">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80%</w:t>
            </w:r>
          </w:p>
        </w:tc>
      </w:tr>
      <w:tr w14:paraId="0CE6C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nil"/>
              <w:bottom w:val="single" w:color="000000" w:sz="8" w:space="0"/>
              <w:right w:val="nil"/>
            </w:tcBorders>
            <w:shd w:val="clear" w:color="auto" w:fill="FFFFFF"/>
            <w:noWrap/>
            <w:vAlign w:val="center"/>
          </w:tcPr>
          <w:p w14:paraId="18CB7E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醇沉得率</w:t>
            </w:r>
          </w:p>
        </w:tc>
        <w:tc>
          <w:tcPr>
            <w:tcW w:w="0" w:type="auto"/>
            <w:tcBorders>
              <w:top w:val="single" w:color="000000" w:sz="4" w:space="0"/>
              <w:left w:val="nil"/>
              <w:bottom w:val="single" w:color="000000" w:sz="8" w:space="0"/>
              <w:right w:val="nil"/>
            </w:tcBorders>
            <w:shd w:val="clear" w:color="auto" w:fill="FFFFFF"/>
            <w:noWrap/>
            <w:vAlign w:val="center"/>
          </w:tcPr>
          <w:p w14:paraId="7CB2E7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12.53%</w:t>
            </w:r>
          </w:p>
        </w:tc>
        <w:tc>
          <w:tcPr>
            <w:tcW w:w="0" w:type="auto"/>
            <w:tcBorders>
              <w:top w:val="single" w:color="000000" w:sz="4" w:space="0"/>
              <w:left w:val="nil"/>
              <w:bottom w:val="single" w:color="000000" w:sz="8" w:space="0"/>
              <w:right w:val="nil"/>
            </w:tcBorders>
            <w:shd w:val="clear" w:color="auto" w:fill="FFFFFF"/>
            <w:noWrap/>
            <w:vAlign w:val="center"/>
          </w:tcPr>
          <w:p w14:paraId="715BE9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20.08%</w:t>
            </w:r>
          </w:p>
        </w:tc>
        <w:tc>
          <w:tcPr>
            <w:tcW w:w="0" w:type="auto"/>
            <w:tcBorders>
              <w:top w:val="single" w:color="000000" w:sz="4" w:space="0"/>
              <w:left w:val="nil"/>
              <w:bottom w:val="single" w:color="000000" w:sz="8" w:space="0"/>
              <w:right w:val="nil"/>
            </w:tcBorders>
            <w:shd w:val="clear" w:color="auto" w:fill="FFFFFF"/>
            <w:noWrap/>
            <w:vAlign w:val="center"/>
          </w:tcPr>
          <w:p w14:paraId="75CC77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37.60%</w:t>
            </w:r>
          </w:p>
        </w:tc>
      </w:tr>
    </w:tbl>
    <w:p w14:paraId="59104854">
      <w:pPr>
        <w:numPr>
          <w:ilvl w:val="0"/>
          <w:numId w:val="0"/>
        </w:numPr>
        <w:spacing w:line="360" w:lineRule="auto"/>
        <w:ind w:firstLine="480" w:firstLineChars="200"/>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试验结果表明，采用80%的乙醇终浓度沉淀的多糖得率达到标准规定的生产要求。</w:t>
      </w:r>
    </w:p>
    <w:p w14:paraId="484AE2FE">
      <w:pPr>
        <w:numPr>
          <w:ilvl w:val="0"/>
          <w:numId w:val="0"/>
        </w:numPr>
        <w:spacing w:line="360" w:lineRule="auto"/>
        <w:ind w:firstLine="480"/>
        <w:rPr>
          <w:rFonts w:hint="eastAsia" w:ascii="仿宋" w:hAnsi="仿宋" w:eastAsia="仿宋"/>
          <w:b/>
          <w:bCs/>
          <w:color w:val="000000" w:themeColor="text1"/>
          <w:sz w:val="24"/>
          <w:szCs w:val="24"/>
          <w:lang w:val="en-US" w:eastAsia="zh-CN"/>
          <w14:textFill>
            <w14:solidFill>
              <w14:schemeClr w14:val="tx1"/>
            </w14:solidFill>
          </w14:textFill>
        </w:rPr>
      </w:pPr>
      <w:r>
        <w:rPr>
          <w:rFonts w:hint="eastAsia" w:ascii="仿宋" w:hAnsi="仿宋" w:eastAsia="仿宋"/>
          <w:b/>
          <w:bCs/>
          <w:color w:val="000000" w:themeColor="text1"/>
          <w:sz w:val="24"/>
          <w:szCs w:val="24"/>
          <w:lang w:val="en-US" w:eastAsia="zh-CN"/>
          <w14:textFill>
            <w14:solidFill>
              <w14:schemeClr w14:val="tx1"/>
            </w14:solidFill>
          </w14:textFill>
        </w:rPr>
        <w:t>7.结论</w:t>
      </w:r>
    </w:p>
    <w:p w14:paraId="3DB35973">
      <w:pPr>
        <w:numPr>
          <w:ilvl w:val="0"/>
          <w:numId w:val="0"/>
        </w:numPr>
        <w:spacing w:line="360" w:lineRule="auto"/>
        <w:ind w:firstLine="480"/>
        <w:jc w:val="both"/>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本次验证重点考察原料干燥方式、原料粉碎程度、提取温度、料液比、醇沉浓度对蛹虫草多糖提取效率的影响，验证结果表明，按照本标准确定的生产工艺及技术参数进行蛹虫草多糖的提取生产具有优异的生产效率，能够达到标准规定的质量要求。其中本标准规定的80℃提取温度可实现优异的生产效率，与100℃的得率差异较小，实际生产中可结合成本控制、能耗节约需求调整提取温度。综上，按照标准规定的生产工艺制备蛹虫草多糖，提取效率良好，各关键参数控制范围合理，能够稳定达到生产要求，标准工艺具备较强的实用性和可操作性。</w:t>
      </w:r>
    </w:p>
    <w:p w14:paraId="4B4EE200">
      <w:pPr>
        <w:numPr>
          <w:ilvl w:val="0"/>
          <w:numId w:val="0"/>
        </w:numPr>
        <w:spacing w:line="360" w:lineRule="auto"/>
        <w:ind w:firstLine="480"/>
        <w:rPr>
          <w:rFonts w:hint="eastAsia" w:ascii="楷体" w:hAnsi="楷体" w:eastAsia="楷体" w:cs="楷体"/>
          <w:color w:val="000000" w:themeColor="text1"/>
          <w:sz w:val="24"/>
          <w:szCs w:val="24"/>
          <w:lang w:val="en-US" w:eastAsia="zh-CN"/>
          <w14:textFill>
            <w14:solidFill>
              <w14:schemeClr w14:val="tx1"/>
            </w14:solidFill>
          </w14:textFill>
        </w:rPr>
      </w:pPr>
      <w:r>
        <w:rPr>
          <w:rFonts w:hint="eastAsia" w:ascii="楷体" w:hAnsi="楷体" w:eastAsia="楷体" w:cs="楷体"/>
          <w:color w:val="000000" w:themeColor="text1"/>
          <w:sz w:val="24"/>
          <w:szCs w:val="24"/>
          <w:lang w:val="en-US" w:eastAsia="zh-CN"/>
          <w14:textFill>
            <w14:solidFill>
              <w14:schemeClr w14:val="tx1"/>
            </w14:solidFill>
          </w14:textFill>
        </w:rPr>
        <w:t>（二）技术经济论证</w:t>
      </w:r>
    </w:p>
    <w:p w14:paraId="74500732">
      <w:pPr>
        <w:spacing w:line="360" w:lineRule="auto"/>
        <w:ind w:firstLine="480" w:firstLineChars="200"/>
        <w:jc w:val="both"/>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本标准提取工艺采用水提醇沉法结合纤维素酶、果胶酶酶解制备蛹虫草多糖，工艺过程中主要成本来源于大量乙醇溶剂，但考虑乙醇本身的性质以及本工艺流程中不存在其他溶剂污染，可通过蒸馏进行乙醇溶剂回收循环利用，可极大的减少本项工艺的成本，其他的成本原料如酶制剂用量少，对本标准技术不构成经济条件方面的限制，因此本项技术在经济上具备可行性。此外工艺过程中技术手段、方法、设备均可实现工业化生产放大，适用于工业化生产。</w:t>
      </w:r>
    </w:p>
    <w:p w14:paraId="7C2B9387">
      <w:pPr>
        <w:spacing w:line="360" w:lineRule="auto"/>
        <w:ind w:firstLine="480" w:firstLineChars="200"/>
        <w:rPr>
          <w:rFonts w:ascii="楷体" w:hAnsi="楷体" w:eastAsia="楷体"/>
          <w:color w:val="000000" w:themeColor="text1"/>
          <w:sz w:val="24"/>
          <w:szCs w:val="24"/>
          <w14:textFill>
            <w14:solidFill>
              <w14:schemeClr w14:val="tx1"/>
            </w14:solidFill>
          </w14:textFill>
        </w:rPr>
      </w:pPr>
      <w:r>
        <w:rPr>
          <w:rFonts w:hint="eastAsia" w:ascii="楷体" w:hAnsi="楷体" w:eastAsia="楷体"/>
          <w:color w:val="000000" w:themeColor="text1"/>
          <w:sz w:val="24"/>
          <w:szCs w:val="24"/>
          <w14:textFill>
            <w14:solidFill>
              <w14:schemeClr w14:val="tx1"/>
            </w14:solidFill>
          </w14:textFill>
        </w:rPr>
        <w:t>（三）预期效益</w:t>
      </w:r>
    </w:p>
    <w:p w14:paraId="0E7A71D4">
      <w:pPr>
        <w:spacing w:line="360" w:lineRule="auto"/>
        <w:ind w:firstLine="480" w:firstLineChars="200"/>
        <w:jc w:val="both"/>
        <w:rPr>
          <w:rFonts w:hint="eastAsia" w:ascii="黑体" w:hAnsi="黑体" w:eastAsia="黑体"/>
          <w:color w:val="000000" w:themeColor="text1"/>
          <w:sz w:val="24"/>
          <w:szCs w:val="24"/>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本标准的制定与实施为蛹虫草子实体多糖及其衍生产品的精深加工建立了规范化技术框架，通过规范生产工艺流程和质量控制指标，将有效提升产品的一致性与稳定性。标准实施后，基于该多糖原料开发的保健食品、医药辅料及化妆品添加剂等系列产品的技术指标将得到显著优化，预计可显著提升相关产品年产值。</w:t>
      </w:r>
    </w:p>
    <w:p w14:paraId="0270F928">
      <w:pPr>
        <w:numPr>
          <w:ilvl w:val="0"/>
          <w:numId w:val="2"/>
        </w:numPr>
        <w:spacing w:line="360" w:lineRule="auto"/>
        <w:rPr>
          <w:rFonts w:hint="eastAsia" w:ascii="黑体" w:hAnsi="黑体" w:eastAsia="黑体"/>
          <w:sz w:val="24"/>
          <w:szCs w:val="24"/>
        </w:rPr>
      </w:pPr>
      <w:r>
        <w:rPr>
          <w:rFonts w:hint="eastAsia" w:ascii="黑体" w:hAnsi="黑体" w:eastAsia="黑体"/>
          <w:sz w:val="24"/>
          <w:szCs w:val="24"/>
        </w:rPr>
        <w:t>与国际、国外同类标准技术内容的对比情况</w:t>
      </w:r>
    </w:p>
    <w:p w14:paraId="1BA44CA4">
      <w:pPr>
        <w:numPr>
          <w:ilvl w:val="0"/>
          <w:numId w:val="0"/>
        </w:numPr>
        <w:spacing w:line="360" w:lineRule="auto"/>
        <w:ind w:firstLine="480" w:firstLineChars="200"/>
        <w:rPr>
          <w:rFonts w:hint="eastAsia" w:ascii="黑体" w:hAnsi="黑体" w:eastAsia="黑体"/>
          <w:sz w:val="24"/>
          <w:szCs w:val="24"/>
        </w:rPr>
      </w:pPr>
      <w:r>
        <w:rPr>
          <w:rFonts w:hint="eastAsia" w:ascii="仿宋" w:hAnsi="仿宋" w:eastAsia="仿宋"/>
          <w:sz w:val="24"/>
          <w:szCs w:val="24"/>
        </w:rPr>
        <w:t>经检索，目前国际、国外均没有</w:t>
      </w:r>
      <w:r>
        <w:rPr>
          <w:rFonts w:hint="eastAsia" w:ascii="仿宋" w:hAnsi="仿宋" w:eastAsia="仿宋"/>
          <w:sz w:val="24"/>
          <w:szCs w:val="24"/>
          <w:lang w:val="en-US" w:eastAsia="zh-CN"/>
        </w:rPr>
        <w:t>蛹虫草多糖</w:t>
      </w:r>
      <w:r>
        <w:rPr>
          <w:rFonts w:hint="eastAsia" w:ascii="仿宋" w:hAnsi="仿宋" w:eastAsia="仿宋"/>
          <w:sz w:val="24"/>
          <w:szCs w:val="24"/>
        </w:rPr>
        <w:t>生产同类标准。</w:t>
      </w:r>
    </w:p>
    <w:p w14:paraId="4D54CF89">
      <w:pPr>
        <w:numPr>
          <w:ilvl w:val="0"/>
          <w:numId w:val="2"/>
        </w:numPr>
        <w:spacing w:line="360" w:lineRule="auto"/>
        <w:ind w:left="0" w:leftChars="0" w:firstLine="0" w:firstLineChars="0"/>
        <w:rPr>
          <w:rFonts w:hint="eastAsia" w:ascii="黑体" w:hAnsi="黑体" w:eastAsia="黑体"/>
          <w:sz w:val="24"/>
          <w:szCs w:val="24"/>
        </w:rPr>
      </w:pPr>
      <w:r>
        <w:rPr>
          <w:rFonts w:hint="eastAsia" w:ascii="黑体" w:hAnsi="黑体" w:eastAsia="黑体"/>
          <w:sz w:val="24"/>
          <w:szCs w:val="24"/>
        </w:rPr>
        <w:t>以国际标准为基础的起草情况</w:t>
      </w:r>
    </w:p>
    <w:p w14:paraId="2C9508CE">
      <w:pPr>
        <w:spacing w:line="360" w:lineRule="auto"/>
        <w:ind w:firstLine="480" w:firstLineChars="200"/>
        <w:rPr>
          <w:rFonts w:ascii="仿宋" w:hAnsi="仿宋" w:eastAsia="仿宋"/>
          <w:sz w:val="24"/>
          <w:szCs w:val="24"/>
        </w:rPr>
      </w:pPr>
      <w:r>
        <w:rPr>
          <w:rFonts w:hint="eastAsia" w:ascii="仿宋" w:hAnsi="仿宋" w:eastAsia="仿宋"/>
          <w:sz w:val="24"/>
          <w:szCs w:val="24"/>
        </w:rPr>
        <w:t>目前</w:t>
      </w:r>
      <w:r>
        <w:rPr>
          <w:rFonts w:hint="eastAsia" w:ascii="仿宋" w:hAnsi="仿宋" w:eastAsia="仿宋"/>
          <w:sz w:val="24"/>
          <w:szCs w:val="24"/>
          <w:lang w:val="en-US" w:eastAsia="zh-CN"/>
        </w:rPr>
        <w:t>多糖生产（蛹虫草）</w:t>
      </w:r>
      <w:r>
        <w:rPr>
          <w:rFonts w:hint="eastAsia" w:ascii="仿宋" w:hAnsi="仿宋" w:eastAsia="仿宋"/>
          <w:sz w:val="24"/>
          <w:szCs w:val="24"/>
        </w:rPr>
        <w:t>尚没有相关国际标准和国外标准，因此本标准起草时未引用或者采用国际标准或国外标准。</w:t>
      </w:r>
    </w:p>
    <w:p w14:paraId="73260AC5">
      <w:pPr>
        <w:numPr>
          <w:ilvl w:val="0"/>
          <w:numId w:val="2"/>
        </w:numPr>
        <w:spacing w:line="360" w:lineRule="auto"/>
        <w:ind w:left="0" w:leftChars="0" w:firstLine="0" w:firstLineChars="0"/>
        <w:rPr>
          <w:rFonts w:hint="eastAsia" w:ascii="黑体" w:hAnsi="黑体" w:eastAsia="黑体"/>
          <w:sz w:val="24"/>
          <w:szCs w:val="24"/>
        </w:rPr>
      </w:pPr>
      <w:r>
        <w:rPr>
          <w:rFonts w:hint="eastAsia" w:ascii="黑体" w:hAnsi="黑体" w:eastAsia="黑体"/>
          <w:sz w:val="24"/>
          <w:szCs w:val="24"/>
        </w:rPr>
        <w:t>与有关法律、行政法规及相关标准的关系</w:t>
      </w:r>
    </w:p>
    <w:p w14:paraId="5A7A6622">
      <w:pPr>
        <w:spacing w:line="360" w:lineRule="auto"/>
        <w:ind w:firstLine="480" w:firstLineChars="200"/>
        <w:rPr>
          <w:rFonts w:hint="eastAsia" w:ascii="仿宋" w:hAnsi="仿宋" w:eastAsia="仿宋"/>
          <w:sz w:val="24"/>
          <w:szCs w:val="24"/>
          <w:lang w:eastAsia="zh-CN"/>
        </w:rPr>
      </w:pPr>
      <w:r>
        <w:rPr>
          <w:rFonts w:hint="eastAsia" w:ascii="仿宋" w:hAnsi="仿宋" w:eastAsia="仿宋"/>
          <w:sz w:val="24"/>
          <w:szCs w:val="24"/>
        </w:rPr>
        <w:t>与本标准相关的法律有</w:t>
      </w:r>
      <w:r>
        <w:rPr>
          <w:rFonts w:hint="eastAsia" w:ascii="仿宋" w:hAnsi="仿宋" w:eastAsia="仿宋"/>
          <w:sz w:val="24"/>
          <w:szCs w:val="24"/>
          <w:lang w:eastAsia="zh-CN"/>
        </w:rPr>
        <w:t>：</w:t>
      </w:r>
    </w:p>
    <w:p w14:paraId="1D240981">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①《中华人民共和国食品安全法》</w:t>
      </w:r>
      <w:r>
        <w:rPr>
          <w:rFonts w:hint="eastAsia" w:ascii="仿宋" w:hAnsi="仿宋" w:eastAsia="仿宋"/>
          <w:sz w:val="24"/>
          <w:szCs w:val="24"/>
          <w:lang w:eastAsia="zh-CN"/>
        </w:rPr>
        <w:t>。</w:t>
      </w:r>
      <w:r>
        <w:rPr>
          <w:rFonts w:hint="eastAsia" w:ascii="仿宋" w:hAnsi="仿宋" w:eastAsia="仿宋"/>
          <w:sz w:val="24"/>
          <w:szCs w:val="24"/>
        </w:rPr>
        <w:t>核心作用：本规程的最高法律依据，确立食品安全“四个最严”原则。</w:t>
      </w:r>
      <w:r>
        <w:rPr>
          <w:rFonts w:hint="eastAsia" w:ascii="仿宋" w:hAnsi="仿宋" w:eastAsia="仿宋"/>
          <w:sz w:val="24"/>
          <w:szCs w:val="24"/>
          <w:lang w:val="en-US" w:eastAsia="zh-CN"/>
        </w:rPr>
        <w:t>1.</w:t>
      </w:r>
      <w:r>
        <w:rPr>
          <w:rFonts w:hint="eastAsia" w:ascii="仿宋" w:hAnsi="仿宋" w:eastAsia="仿宋"/>
          <w:sz w:val="24"/>
          <w:szCs w:val="24"/>
        </w:rPr>
        <w:t>原料必须安全、无毒、无害，符合食品安全标准。</w:t>
      </w:r>
      <w:r>
        <w:rPr>
          <w:rFonts w:hint="eastAsia" w:ascii="仿宋" w:hAnsi="仿宋" w:eastAsia="仿宋"/>
          <w:sz w:val="24"/>
          <w:szCs w:val="24"/>
          <w:lang w:val="en-US" w:eastAsia="zh-CN"/>
        </w:rPr>
        <w:t>2.</w:t>
      </w:r>
      <w:r>
        <w:rPr>
          <w:rFonts w:hint="eastAsia" w:ascii="仿宋" w:hAnsi="仿宋" w:eastAsia="仿宋"/>
          <w:sz w:val="24"/>
          <w:szCs w:val="24"/>
        </w:rPr>
        <w:t>生产过程需全程控制，建立生产记录、追溯体系。</w:t>
      </w:r>
      <w:r>
        <w:rPr>
          <w:rFonts w:hint="eastAsia" w:ascii="仿宋" w:hAnsi="仿宋" w:eastAsia="仿宋"/>
          <w:sz w:val="24"/>
          <w:szCs w:val="24"/>
          <w:lang w:val="en-US" w:eastAsia="zh-CN"/>
        </w:rPr>
        <w:t>3.</w:t>
      </w:r>
      <w:r>
        <w:rPr>
          <w:rFonts w:hint="eastAsia" w:ascii="仿宋" w:hAnsi="仿宋" w:eastAsia="仿宋"/>
          <w:sz w:val="24"/>
          <w:szCs w:val="24"/>
        </w:rPr>
        <w:t>产品必须检验合格方可出厂，标签真实合规。</w:t>
      </w:r>
      <w:r>
        <w:rPr>
          <w:rFonts w:hint="eastAsia" w:ascii="仿宋" w:hAnsi="仿宋" w:eastAsia="仿宋"/>
          <w:sz w:val="24"/>
          <w:szCs w:val="24"/>
          <w:lang w:val="en-US" w:eastAsia="zh-CN"/>
        </w:rPr>
        <w:t>4.</w:t>
      </w:r>
      <w:r>
        <w:rPr>
          <w:rFonts w:hint="eastAsia" w:ascii="仿宋" w:hAnsi="仿宋" w:eastAsia="仿宋"/>
          <w:sz w:val="24"/>
          <w:szCs w:val="24"/>
        </w:rPr>
        <w:t>明确企业主体责任，对食品安全承担法律后果。</w:t>
      </w:r>
    </w:p>
    <w:p w14:paraId="75D00188">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②《中华人民共和国农产品质量安全法》</w:t>
      </w:r>
      <w:r>
        <w:rPr>
          <w:rFonts w:hint="eastAsia" w:ascii="仿宋" w:hAnsi="仿宋" w:eastAsia="仿宋"/>
          <w:sz w:val="24"/>
          <w:szCs w:val="24"/>
          <w:lang w:eastAsia="zh-CN"/>
        </w:rPr>
        <w:t>。</w:t>
      </w:r>
      <w:r>
        <w:rPr>
          <w:rFonts w:hint="eastAsia" w:ascii="仿宋" w:hAnsi="仿宋" w:eastAsia="仿宋"/>
          <w:sz w:val="24"/>
          <w:szCs w:val="24"/>
        </w:rPr>
        <w:t>核心作用：规范蛹虫草原料（农产品）的质量安全管理。</w:t>
      </w:r>
      <w:r>
        <w:rPr>
          <w:rFonts w:hint="eastAsia" w:ascii="仿宋" w:hAnsi="仿宋" w:eastAsia="仿宋"/>
          <w:sz w:val="24"/>
          <w:szCs w:val="24"/>
          <w:lang w:val="en-US" w:eastAsia="zh-CN"/>
        </w:rPr>
        <w:t>1.</w:t>
      </w:r>
      <w:r>
        <w:rPr>
          <w:rFonts w:hint="eastAsia" w:ascii="仿宋" w:hAnsi="仿宋" w:eastAsia="仿宋"/>
          <w:sz w:val="24"/>
          <w:szCs w:val="24"/>
        </w:rPr>
        <w:t>原料生产需符合产地环境、投入品使用要求。</w:t>
      </w:r>
      <w:r>
        <w:rPr>
          <w:rFonts w:hint="eastAsia" w:ascii="仿宋" w:hAnsi="仿宋" w:eastAsia="仿宋"/>
          <w:sz w:val="24"/>
          <w:szCs w:val="24"/>
          <w:lang w:val="en-US" w:eastAsia="zh-CN"/>
        </w:rPr>
        <w:t>2.</w:t>
      </w:r>
      <w:r>
        <w:rPr>
          <w:rFonts w:hint="eastAsia" w:ascii="仿宋" w:hAnsi="仿宋" w:eastAsia="仿宋"/>
          <w:sz w:val="24"/>
          <w:szCs w:val="24"/>
        </w:rPr>
        <w:t>建立农产品质量安全追溯与生产记录制度。</w:t>
      </w:r>
    </w:p>
    <w:p w14:paraId="23D0743C">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③《中华人民共和国食品安全法实施条例》</w:t>
      </w:r>
      <w:r>
        <w:rPr>
          <w:rFonts w:hint="eastAsia" w:ascii="仿宋" w:hAnsi="仿宋" w:eastAsia="仿宋"/>
          <w:sz w:val="24"/>
          <w:szCs w:val="24"/>
          <w:lang w:eastAsia="zh-CN"/>
        </w:rPr>
        <w:t>。</w:t>
      </w:r>
      <w:r>
        <w:rPr>
          <w:rFonts w:hint="eastAsia" w:ascii="仿宋" w:hAnsi="仿宋" w:eastAsia="仿宋"/>
          <w:sz w:val="24"/>
          <w:szCs w:val="24"/>
          <w:lang w:val="en-US" w:eastAsia="zh-CN"/>
        </w:rPr>
        <w:t>1.</w:t>
      </w:r>
      <w:r>
        <w:rPr>
          <w:rFonts w:hint="eastAsia" w:ascii="仿宋" w:hAnsi="仿宋" w:eastAsia="仿宋"/>
          <w:sz w:val="24"/>
          <w:szCs w:val="24"/>
        </w:rPr>
        <w:t>细化生产许可、过程控制、标签、召回等要求。明确食品生产许可的申请、审查、变更与注销流程。细化原料采购、生产过程、成品检验的具体要求。</w:t>
      </w:r>
      <w:r>
        <w:rPr>
          <w:rFonts w:hint="eastAsia" w:ascii="仿宋" w:hAnsi="仿宋" w:eastAsia="仿宋"/>
          <w:sz w:val="24"/>
          <w:szCs w:val="24"/>
          <w:lang w:val="en-US" w:eastAsia="zh-CN"/>
        </w:rPr>
        <w:t>以及</w:t>
      </w:r>
      <w:r>
        <w:rPr>
          <w:rFonts w:hint="eastAsia" w:ascii="仿宋" w:hAnsi="仿宋" w:eastAsia="仿宋"/>
          <w:sz w:val="24"/>
          <w:szCs w:val="24"/>
        </w:rPr>
        <w:t>强化标签、说明书的真实性与合规性。</w:t>
      </w:r>
    </w:p>
    <w:p w14:paraId="202B3467">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④《食品生产许可管理办法》规范食品生产企业资质管理。生产蛹虫草多糖需取得SC食品生产许可证。许可范围、生产条件、工艺参数需与实际一致。</w:t>
      </w:r>
    </w:p>
    <w:p w14:paraId="5A410F36">
      <w:pPr>
        <w:spacing w:line="360" w:lineRule="auto"/>
        <w:ind w:firstLine="480" w:firstLineChars="200"/>
        <w:rPr>
          <w:rFonts w:hint="eastAsia" w:ascii="仿宋" w:hAnsi="仿宋" w:eastAsia="仿宋"/>
          <w:sz w:val="24"/>
          <w:szCs w:val="24"/>
          <w:lang w:eastAsia="zh-CN"/>
        </w:rPr>
      </w:pPr>
      <w:r>
        <w:rPr>
          <w:rFonts w:hint="eastAsia" w:ascii="仿宋" w:hAnsi="仿宋" w:eastAsia="仿宋"/>
          <w:sz w:val="24"/>
          <w:szCs w:val="24"/>
          <w:lang w:val="en-US" w:eastAsia="zh-CN"/>
        </w:rPr>
        <w:t>与本标准</w:t>
      </w:r>
      <w:r>
        <w:rPr>
          <w:rFonts w:hint="eastAsia" w:ascii="仿宋" w:hAnsi="仿宋" w:eastAsia="仿宋"/>
          <w:sz w:val="24"/>
          <w:szCs w:val="24"/>
        </w:rPr>
        <w:t>相关的部门规章</w:t>
      </w:r>
      <w:r>
        <w:rPr>
          <w:rFonts w:hint="eastAsia" w:ascii="仿宋" w:hAnsi="仿宋" w:eastAsia="仿宋"/>
          <w:sz w:val="24"/>
          <w:szCs w:val="24"/>
          <w:lang w:eastAsia="zh-CN"/>
        </w:rPr>
        <w:t>：</w:t>
      </w:r>
    </w:p>
    <w:p w14:paraId="0028C9A3">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食品安全基础强制标准GB 2762《食品安全国家标准 食品中污染物限量》</w:t>
      </w:r>
      <w:r>
        <w:rPr>
          <w:rFonts w:hint="eastAsia" w:ascii="仿宋" w:hAnsi="仿宋" w:eastAsia="仿宋"/>
          <w:sz w:val="24"/>
          <w:szCs w:val="24"/>
          <w:lang w:eastAsia="zh-CN"/>
        </w:rPr>
        <w:t>。</w:t>
      </w:r>
      <w:r>
        <w:rPr>
          <w:rFonts w:hint="eastAsia" w:ascii="仿宋" w:hAnsi="仿宋" w:eastAsia="仿宋"/>
          <w:sz w:val="24"/>
          <w:szCs w:val="24"/>
        </w:rPr>
        <w:t>规定铅、镉、汞、砷等重金属限量（如铅≤0.5mg/kg）。</w:t>
      </w:r>
      <w:r>
        <w:rPr>
          <w:rFonts w:hint="eastAsia" w:ascii="仿宋" w:hAnsi="仿宋" w:eastAsia="仿宋"/>
          <w:sz w:val="24"/>
          <w:szCs w:val="24"/>
          <w:lang w:eastAsia="zh-CN"/>
        </w:rPr>
        <w:t>，</w:t>
      </w:r>
      <w:r>
        <w:rPr>
          <w:rFonts w:hint="eastAsia" w:ascii="仿宋" w:hAnsi="仿宋" w:eastAsia="仿宋"/>
          <w:sz w:val="24"/>
          <w:szCs w:val="24"/>
        </w:rPr>
        <w:t>本规程污染物指标必须以此为底线。GB 2763《食品安全国家标准 食品中农药最大残留限量》</w:t>
      </w:r>
      <w:r>
        <w:rPr>
          <w:rFonts w:hint="eastAsia" w:ascii="仿宋" w:hAnsi="仿宋" w:eastAsia="仿宋"/>
          <w:sz w:val="24"/>
          <w:szCs w:val="24"/>
          <w:lang w:eastAsia="zh-CN"/>
        </w:rPr>
        <w:t>。</w:t>
      </w:r>
      <w:r>
        <w:rPr>
          <w:rFonts w:hint="eastAsia" w:ascii="仿宋" w:hAnsi="仿宋" w:eastAsia="仿宋"/>
          <w:sz w:val="24"/>
          <w:szCs w:val="24"/>
        </w:rPr>
        <w:t>控制原料农药残留，保障源头安全。GB 7718《食品安全国家标准 预包装食品标签通则》</w:t>
      </w:r>
      <w:r>
        <w:rPr>
          <w:rFonts w:hint="eastAsia" w:ascii="仿宋" w:hAnsi="仿宋" w:eastAsia="仿宋"/>
          <w:sz w:val="24"/>
          <w:szCs w:val="24"/>
          <w:lang w:eastAsia="zh-CN"/>
        </w:rPr>
        <w:t>。</w:t>
      </w:r>
      <w:r>
        <w:rPr>
          <w:rFonts w:hint="eastAsia" w:ascii="仿宋" w:hAnsi="仿宋" w:eastAsia="仿宋"/>
          <w:sz w:val="24"/>
          <w:szCs w:val="24"/>
        </w:rPr>
        <w:t>规范标签内容：名称、配料、生产日期、保质期、执行标准等。本规程需补充标注原料类型（子实体/菌丝体）、多糖含量等。GB 4789《食品安全国家标准 食品微生物学检验</w:t>
      </w:r>
      <w:r>
        <w:rPr>
          <w:rFonts w:hint="eastAsia" w:ascii="仿宋" w:hAnsi="仿宋" w:eastAsia="仿宋"/>
          <w:sz w:val="24"/>
          <w:szCs w:val="24"/>
          <w:lang w:eastAsia="zh-CN"/>
        </w:rPr>
        <w:t>》</w:t>
      </w:r>
      <w:r>
        <w:rPr>
          <w:rFonts w:hint="eastAsia" w:ascii="仿宋" w:hAnsi="仿宋" w:eastAsia="仿宋"/>
          <w:sz w:val="24"/>
          <w:szCs w:val="24"/>
          <w:lang w:val="en-US" w:eastAsia="zh-CN"/>
        </w:rPr>
        <w:t>规定了</w:t>
      </w:r>
      <w:r>
        <w:rPr>
          <w:rFonts w:hint="eastAsia" w:ascii="仿宋" w:hAnsi="仿宋" w:eastAsia="仿宋"/>
          <w:sz w:val="24"/>
          <w:szCs w:val="24"/>
        </w:rPr>
        <w:t>菌落总数</w:t>
      </w:r>
      <w:r>
        <w:rPr>
          <w:rFonts w:hint="eastAsia" w:ascii="仿宋" w:hAnsi="仿宋" w:eastAsia="仿宋"/>
          <w:sz w:val="24"/>
          <w:szCs w:val="24"/>
          <w:lang w:eastAsia="zh-CN"/>
        </w:rPr>
        <w:t>、</w:t>
      </w:r>
      <w:r>
        <w:rPr>
          <w:rFonts w:hint="eastAsia" w:ascii="仿宋" w:hAnsi="仿宋" w:eastAsia="仿宋"/>
          <w:sz w:val="24"/>
          <w:szCs w:val="24"/>
        </w:rPr>
        <w:t>大肠菌群</w:t>
      </w:r>
      <w:r>
        <w:rPr>
          <w:rFonts w:hint="eastAsia" w:ascii="仿宋" w:hAnsi="仿宋" w:eastAsia="仿宋"/>
          <w:sz w:val="24"/>
          <w:szCs w:val="24"/>
          <w:lang w:eastAsia="zh-CN"/>
        </w:rPr>
        <w:t>、</w:t>
      </w:r>
      <w:r>
        <w:rPr>
          <w:rFonts w:hint="eastAsia" w:ascii="仿宋" w:hAnsi="仿宋" w:eastAsia="仿宋"/>
          <w:sz w:val="24"/>
          <w:szCs w:val="24"/>
        </w:rPr>
        <w:t>沙门氏菌、金黄色葡萄球菌</w:t>
      </w:r>
      <w:r>
        <w:rPr>
          <w:rFonts w:hint="eastAsia" w:ascii="仿宋" w:hAnsi="仿宋" w:eastAsia="仿宋"/>
          <w:sz w:val="24"/>
          <w:szCs w:val="24"/>
          <w:lang w:eastAsia="zh-CN"/>
        </w:rPr>
        <w:t>、</w:t>
      </w:r>
      <w:r>
        <w:rPr>
          <w:rFonts w:hint="eastAsia" w:ascii="仿宋" w:hAnsi="仿宋" w:eastAsia="仿宋"/>
          <w:sz w:val="24"/>
          <w:szCs w:val="24"/>
        </w:rPr>
        <w:t>霉菌和酵母等致病菌</w:t>
      </w:r>
      <w:r>
        <w:rPr>
          <w:rFonts w:hint="eastAsia" w:ascii="仿宋" w:hAnsi="仿宋" w:eastAsia="仿宋"/>
          <w:sz w:val="24"/>
          <w:szCs w:val="24"/>
          <w:lang w:val="en-US" w:eastAsia="zh-CN"/>
        </w:rPr>
        <w:t>的检测及限量</w:t>
      </w:r>
      <w:r>
        <w:rPr>
          <w:rFonts w:hint="eastAsia" w:ascii="仿宋" w:hAnsi="仿宋" w:eastAsia="仿宋"/>
          <w:sz w:val="24"/>
          <w:szCs w:val="24"/>
        </w:rPr>
        <w:t>。GB 7096《食品安全国家标准 食用菌及其制品》</w:t>
      </w:r>
      <w:r>
        <w:rPr>
          <w:rFonts w:hint="eastAsia" w:ascii="仿宋" w:hAnsi="仿宋" w:eastAsia="仿宋"/>
          <w:sz w:val="24"/>
          <w:szCs w:val="24"/>
          <w:lang w:val="en-US" w:eastAsia="zh-CN"/>
        </w:rPr>
        <w:t>-</w:t>
      </w:r>
      <w:r>
        <w:rPr>
          <w:rFonts w:hint="eastAsia" w:ascii="仿宋" w:hAnsi="仿宋" w:eastAsia="仿宋"/>
          <w:sz w:val="24"/>
          <w:szCs w:val="24"/>
        </w:rPr>
        <w:t>蛹虫草作为食用菌的通用安全与质量标准。</w:t>
      </w:r>
    </w:p>
    <w:p w14:paraId="3369447F">
      <w:pPr>
        <w:spacing w:line="360" w:lineRule="auto"/>
        <w:ind w:firstLine="480" w:firstLineChars="200"/>
        <w:rPr>
          <w:rFonts w:hint="eastAsia" w:ascii="仿宋" w:hAnsi="仿宋" w:eastAsia="仿宋"/>
          <w:sz w:val="24"/>
          <w:szCs w:val="24"/>
        </w:rPr>
      </w:pPr>
      <w:r>
        <w:rPr>
          <w:rFonts w:hint="eastAsia" w:ascii="仿宋" w:hAnsi="仿宋" w:eastAsia="仿宋"/>
          <w:sz w:val="24"/>
          <w:szCs w:val="24"/>
          <w:lang w:val="en-US" w:eastAsia="zh-CN"/>
        </w:rPr>
        <w:t>本标准写作中部分表述核心参考</w:t>
      </w:r>
      <w:r>
        <w:rPr>
          <w:rFonts w:hint="eastAsia" w:ascii="仿宋" w:hAnsi="仿宋" w:eastAsia="仿宋"/>
          <w:sz w:val="24"/>
          <w:szCs w:val="24"/>
        </w:rPr>
        <w:t>供销合作行业标准GH/T 1331-2021《蛹虫草子实体生产技术规程》规范蛹虫草子实体的栽培、采收、加工，为本规程原料生产提供技术支撑GH/T 1441-2023《冻干蛹虫草生产技术规程》冻干工艺参考，适用于多糖提取前的原料预处理。GH/T 1443-2023《蛹虫草粉》规定蛹虫草粉的感官、理化、多糖、腺苷指标，为本规程原料/半成品质量提供参考。</w:t>
      </w:r>
      <w:r>
        <w:rPr>
          <w:rFonts w:hint="eastAsia" w:ascii="仿宋" w:hAnsi="仿宋" w:eastAsia="仿宋"/>
          <w:sz w:val="24"/>
          <w:szCs w:val="24"/>
          <w:lang w:val="en-US" w:eastAsia="zh-CN"/>
        </w:rPr>
        <w:t>以及</w:t>
      </w:r>
      <w:r>
        <w:rPr>
          <w:rFonts w:hint="eastAsia" w:ascii="仿宋" w:hAnsi="仿宋" w:eastAsia="仿宋"/>
          <w:sz w:val="24"/>
          <w:szCs w:val="24"/>
        </w:rPr>
        <w:t xml:space="preserve">团体标准《植物提取物 蛹虫草多糖》（公示稿）对蛹虫草多糖的定义、要求、试验方法、检验规则。 </w:t>
      </w:r>
    </w:p>
    <w:p w14:paraId="642F8FBA">
      <w:pPr>
        <w:numPr>
          <w:ilvl w:val="0"/>
          <w:numId w:val="2"/>
        </w:numPr>
        <w:spacing w:line="360" w:lineRule="auto"/>
        <w:ind w:left="0" w:leftChars="0" w:firstLine="0" w:firstLineChars="0"/>
        <w:rPr>
          <w:rFonts w:hint="eastAsia" w:ascii="黑体" w:hAnsi="黑体" w:eastAsia="黑体"/>
          <w:sz w:val="24"/>
          <w:szCs w:val="24"/>
        </w:rPr>
      </w:pPr>
      <w:r>
        <w:rPr>
          <w:rFonts w:hint="eastAsia" w:ascii="黑体" w:hAnsi="黑体" w:eastAsia="黑体"/>
          <w:sz w:val="24"/>
          <w:szCs w:val="24"/>
        </w:rPr>
        <w:t>重大分歧意见的处理经过和依据</w:t>
      </w:r>
    </w:p>
    <w:p w14:paraId="614F145C">
      <w:pPr>
        <w:spacing w:line="360" w:lineRule="auto"/>
        <w:ind w:firstLine="480" w:firstLineChars="200"/>
        <w:rPr>
          <w:rFonts w:ascii="仿宋" w:hAnsi="仿宋" w:eastAsia="仿宋"/>
          <w:sz w:val="24"/>
          <w:szCs w:val="24"/>
        </w:rPr>
      </w:pPr>
      <w:r>
        <w:rPr>
          <w:rFonts w:hint="eastAsia" w:ascii="仿宋" w:hAnsi="仿宋" w:eastAsia="仿宋"/>
          <w:sz w:val="24"/>
          <w:szCs w:val="24"/>
        </w:rPr>
        <w:t>本标准在立项、起草、征求意见及处理等环节均无重大分歧意见。</w:t>
      </w:r>
    </w:p>
    <w:p w14:paraId="6219B475">
      <w:pPr>
        <w:numPr>
          <w:ilvl w:val="0"/>
          <w:numId w:val="2"/>
        </w:numPr>
        <w:spacing w:line="360" w:lineRule="auto"/>
        <w:ind w:left="0" w:leftChars="0" w:firstLine="0" w:firstLineChars="0"/>
        <w:rPr>
          <w:rFonts w:hint="eastAsia" w:ascii="黑体" w:hAnsi="黑体" w:eastAsia="黑体"/>
          <w:sz w:val="24"/>
          <w:szCs w:val="24"/>
        </w:rPr>
      </w:pPr>
      <w:r>
        <w:rPr>
          <w:rFonts w:hint="eastAsia" w:ascii="黑体" w:hAnsi="黑体" w:eastAsia="黑体"/>
          <w:sz w:val="24"/>
          <w:szCs w:val="24"/>
        </w:rPr>
        <w:t>公平竞争审查情况</w:t>
      </w:r>
    </w:p>
    <w:p w14:paraId="044F327D">
      <w:pPr>
        <w:spacing w:line="360" w:lineRule="auto"/>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按照《国家标准化管理委员会关于国家标准起草中开展公平竞争审查的通知》要求，标准归口单位组织了标准公平竞争审查，对照是否限制或者变相限制市场准入和退出、是否限制商品要素自由流动、是否影响生产经营成本、是否影响生产经营行为等审查标准，对本标准进行了审查。</w:t>
      </w:r>
    </w:p>
    <w:p w14:paraId="34FC820E">
      <w:pPr>
        <w:spacing w:line="360" w:lineRule="auto"/>
        <w:ind w:firstLine="480" w:firstLineChars="200"/>
        <w:rPr>
          <w:rFonts w:ascii="楷体" w:hAnsi="楷体" w:eastAsia="楷体" w:cs="Times New Roman"/>
          <w:sz w:val="24"/>
          <w:szCs w:val="24"/>
        </w:rPr>
      </w:pPr>
      <w:r>
        <w:rPr>
          <w:rFonts w:hint="eastAsia" w:ascii="楷体" w:hAnsi="楷体" w:eastAsia="楷体" w:cs="Times New Roman"/>
          <w:sz w:val="24"/>
          <w:szCs w:val="24"/>
        </w:rPr>
        <w:t>（一）是否限制或者变相限制市场准入和退出</w:t>
      </w:r>
    </w:p>
    <w:p w14:paraId="7309303D">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本标准为</w:t>
      </w:r>
      <w:r>
        <w:rPr>
          <w:rFonts w:hint="eastAsia" w:ascii="仿宋" w:hAnsi="仿宋" w:eastAsia="仿宋" w:cs="Times New Roman"/>
          <w:sz w:val="24"/>
          <w:szCs w:val="24"/>
          <w:lang w:val="en-US" w:eastAsia="zh-CN"/>
        </w:rPr>
        <w:t>蛹虫草多糖生产技术规程</w:t>
      </w:r>
      <w:r>
        <w:rPr>
          <w:rFonts w:hint="eastAsia" w:ascii="仿宋" w:hAnsi="仿宋" w:eastAsia="仿宋" w:cs="Times New Roman"/>
          <w:sz w:val="24"/>
          <w:szCs w:val="24"/>
        </w:rPr>
        <w:t>，内容不涉及市场准入和退出条件，也不涉及市场准入审批程序。标准中生产场地</w:t>
      </w:r>
      <w:r>
        <w:rPr>
          <w:rFonts w:hint="eastAsia" w:ascii="仿宋" w:hAnsi="仿宋" w:eastAsia="仿宋" w:cs="Times New Roman"/>
          <w:sz w:val="24"/>
          <w:szCs w:val="24"/>
          <w:lang w:val="en-US" w:eastAsia="zh-CN"/>
        </w:rPr>
        <w:t>由</w:t>
      </w:r>
      <w:r>
        <w:rPr>
          <w:rFonts w:hint="eastAsia" w:ascii="仿宋" w:hAnsi="仿宋" w:eastAsia="仿宋"/>
          <w:sz w:val="24"/>
          <w:szCs w:val="24"/>
        </w:rPr>
        <w:t>《食品生产许可管理办法》</w:t>
      </w:r>
      <w:r>
        <w:rPr>
          <w:rFonts w:hint="eastAsia" w:ascii="仿宋" w:hAnsi="仿宋" w:eastAsia="仿宋"/>
          <w:sz w:val="24"/>
          <w:szCs w:val="24"/>
          <w:lang w:val="en-US" w:eastAsia="zh-CN"/>
        </w:rPr>
        <w:t>规范。</w:t>
      </w:r>
      <w:r>
        <w:rPr>
          <w:rFonts w:hint="eastAsia" w:ascii="仿宋" w:hAnsi="仿宋" w:eastAsia="仿宋" w:cs="Times New Roman"/>
          <w:sz w:val="24"/>
          <w:szCs w:val="24"/>
        </w:rPr>
        <w:t>设施设备、原料等均可从市场采购。标准内容不涉及</w:t>
      </w:r>
      <w:r>
        <w:rPr>
          <w:rFonts w:hint="eastAsia" w:ascii="仿宋" w:hAnsi="仿宋" w:eastAsia="仿宋" w:cs="Times New Roman"/>
          <w:sz w:val="24"/>
          <w:szCs w:val="24"/>
          <w:lang w:val="en-US" w:eastAsia="zh-CN"/>
        </w:rPr>
        <w:t>多糖</w:t>
      </w:r>
      <w:r>
        <w:rPr>
          <w:rFonts w:hint="eastAsia" w:ascii="仿宋" w:hAnsi="仿宋" w:eastAsia="仿宋" w:cs="Times New Roman"/>
          <w:sz w:val="24"/>
          <w:szCs w:val="24"/>
        </w:rPr>
        <w:t>产品销售。没有限定经营、购买或者使用特定经营者提供的商品或者服务。</w:t>
      </w:r>
    </w:p>
    <w:p w14:paraId="1959077A">
      <w:pPr>
        <w:spacing w:line="360" w:lineRule="auto"/>
        <w:ind w:firstLine="480" w:firstLineChars="200"/>
        <w:rPr>
          <w:rFonts w:ascii="楷体" w:hAnsi="楷体" w:eastAsia="楷体" w:cs="Times New Roman"/>
          <w:sz w:val="24"/>
          <w:szCs w:val="24"/>
        </w:rPr>
      </w:pPr>
      <w:r>
        <w:rPr>
          <w:rFonts w:hint="eastAsia" w:ascii="楷体" w:hAnsi="楷体" w:eastAsia="楷体" w:cs="Times New Roman"/>
          <w:sz w:val="24"/>
          <w:szCs w:val="24"/>
        </w:rPr>
        <w:t>（二）是否限制商品要素自由流动</w:t>
      </w:r>
    </w:p>
    <w:p w14:paraId="1D73E6B6">
      <w:pPr>
        <w:spacing w:line="360" w:lineRule="auto"/>
        <w:ind w:firstLine="480" w:firstLineChars="200"/>
        <w:rPr>
          <w:rFonts w:ascii="仿宋" w:hAnsi="仿宋" w:eastAsia="仿宋" w:cs="Times New Roman"/>
          <w:b/>
          <w:color w:val="FF0000"/>
          <w:sz w:val="24"/>
          <w:szCs w:val="24"/>
        </w:rPr>
      </w:pPr>
      <w:r>
        <w:rPr>
          <w:rFonts w:hint="eastAsia" w:ascii="仿宋" w:hAnsi="仿宋" w:eastAsia="仿宋" w:cs="Times New Roman"/>
          <w:sz w:val="24"/>
          <w:szCs w:val="24"/>
        </w:rPr>
        <w:t>本标准作为</w:t>
      </w:r>
      <w:r>
        <w:rPr>
          <w:rFonts w:hint="eastAsia" w:ascii="仿宋" w:hAnsi="仿宋" w:eastAsia="仿宋" w:cs="Times New Roman"/>
          <w:sz w:val="24"/>
          <w:szCs w:val="24"/>
          <w:lang w:val="en-US" w:eastAsia="zh-CN"/>
        </w:rPr>
        <w:t>多糖生产</w:t>
      </w:r>
      <w:r>
        <w:rPr>
          <w:rFonts w:hint="eastAsia" w:ascii="仿宋" w:hAnsi="仿宋" w:eastAsia="仿宋" w:cs="Times New Roman"/>
          <w:sz w:val="24"/>
          <w:szCs w:val="24"/>
        </w:rPr>
        <w:t>技术规程，内容不涉及生产单位经营地及产品销售目标市场。标准中对设施设备、原料等提出的</w:t>
      </w:r>
      <w:r>
        <w:rPr>
          <w:rFonts w:hint="eastAsia" w:ascii="仿宋" w:hAnsi="仿宋" w:eastAsia="仿宋" w:cs="Times New Roman"/>
          <w:sz w:val="24"/>
          <w:szCs w:val="24"/>
          <w:lang w:val="en-US" w:eastAsia="zh-CN"/>
        </w:rPr>
        <w:t>仅为食品安全</w:t>
      </w:r>
      <w:r>
        <w:rPr>
          <w:rFonts w:hint="eastAsia" w:ascii="仿宋" w:hAnsi="仿宋" w:eastAsia="仿宋" w:cs="Times New Roman"/>
          <w:sz w:val="24"/>
          <w:szCs w:val="24"/>
        </w:rPr>
        <w:t>要求，以生产</w:t>
      </w:r>
      <w:r>
        <w:rPr>
          <w:rFonts w:hint="eastAsia" w:ascii="仿宋" w:hAnsi="仿宋" w:eastAsia="仿宋" w:cs="Times New Roman"/>
          <w:sz w:val="24"/>
          <w:szCs w:val="24"/>
          <w:lang w:val="en-US" w:eastAsia="zh-CN"/>
        </w:rPr>
        <w:t>符合食品安全为基本准则</w:t>
      </w:r>
      <w:r>
        <w:rPr>
          <w:rFonts w:hint="eastAsia" w:ascii="仿宋" w:hAnsi="仿宋" w:eastAsia="仿宋" w:cs="Times New Roman"/>
          <w:sz w:val="24"/>
          <w:szCs w:val="24"/>
        </w:rPr>
        <w:t>，没有限制供应商国别或地域。本标准不含有其他限制商品、要素自由流动相关内容。</w:t>
      </w:r>
    </w:p>
    <w:p w14:paraId="0A99E612">
      <w:pPr>
        <w:spacing w:line="360" w:lineRule="auto"/>
        <w:ind w:firstLine="480" w:firstLineChars="200"/>
        <w:rPr>
          <w:rFonts w:ascii="楷体" w:hAnsi="楷体" w:eastAsia="楷体" w:cs="Times New Roman"/>
          <w:sz w:val="24"/>
          <w:szCs w:val="24"/>
        </w:rPr>
      </w:pPr>
      <w:r>
        <w:rPr>
          <w:rFonts w:hint="eastAsia" w:ascii="楷体" w:hAnsi="楷体" w:eastAsia="楷体" w:cs="Times New Roman"/>
          <w:sz w:val="24"/>
          <w:szCs w:val="24"/>
        </w:rPr>
        <w:t>（三）是否影响生产经营成本</w:t>
      </w:r>
    </w:p>
    <w:p w14:paraId="0FC4774F">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本标准作为</w:t>
      </w:r>
      <w:r>
        <w:rPr>
          <w:rFonts w:hint="eastAsia" w:ascii="仿宋" w:hAnsi="仿宋" w:eastAsia="仿宋" w:cs="Times New Roman"/>
          <w:sz w:val="24"/>
          <w:szCs w:val="24"/>
          <w:lang w:val="en-US" w:eastAsia="zh-CN"/>
        </w:rPr>
        <w:t>身缠</w:t>
      </w:r>
      <w:r>
        <w:rPr>
          <w:rFonts w:hint="eastAsia" w:ascii="仿宋" w:hAnsi="仿宋" w:eastAsia="仿宋" w:cs="Times New Roman"/>
          <w:sz w:val="24"/>
          <w:szCs w:val="24"/>
        </w:rPr>
        <w:t>技术规程，不涉及奖励、补贴等内容。本标准确立的生产程序、规定的设施设备、原料与生产</w:t>
      </w:r>
      <w:r>
        <w:rPr>
          <w:rFonts w:hint="eastAsia" w:ascii="仿宋" w:hAnsi="仿宋" w:eastAsia="仿宋" w:cs="Times New Roman"/>
          <w:sz w:val="24"/>
          <w:szCs w:val="24"/>
          <w:lang w:val="en-US" w:eastAsia="zh-CN"/>
        </w:rPr>
        <w:t>流程与</w:t>
      </w:r>
      <w:r>
        <w:rPr>
          <w:rFonts w:hint="eastAsia" w:ascii="仿宋" w:hAnsi="仿宋" w:eastAsia="仿宋" w:cs="Times New Roman"/>
          <w:sz w:val="24"/>
          <w:szCs w:val="24"/>
        </w:rPr>
        <w:t>工艺参数等，是在总结多</w:t>
      </w:r>
      <w:r>
        <w:rPr>
          <w:rFonts w:hint="eastAsia" w:ascii="仿宋" w:hAnsi="仿宋" w:eastAsia="仿宋" w:cs="Times New Roman"/>
          <w:sz w:val="24"/>
          <w:szCs w:val="24"/>
          <w:lang w:val="en-US" w:eastAsia="zh-CN"/>
        </w:rPr>
        <w:t>家科研及</w:t>
      </w:r>
      <w:r>
        <w:rPr>
          <w:rFonts w:hint="eastAsia" w:ascii="仿宋" w:hAnsi="仿宋" w:eastAsia="仿宋" w:cs="Times New Roman"/>
          <w:sz w:val="24"/>
          <w:szCs w:val="24"/>
        </w:rPr>
        <w:t>生产单位经验的基础上确定的，并进行了充分</w:t>
      </w:r>
      <w:r>
        <w:rPr>
          <w:rFonts w:hint="eastAsia" w:ascii="仿宋" w:hAnsi="仿宋" w:eastAsia="仿宋" w:cs="Times New Roman"/>
          <w:sz w:val="24"/>
          <w:szCs w:val="24"/>
          <w:lang w:val="en-US" w:eastAsia="zh-CN"/>
        </w:rPr>
        <w:t>数据</w:t>
      </w:r>
      <w:r>
        <w:rPr>
          <w:rFonts w:hint="eastAsia" w:ascii="仿宋" w:hAnsi="仿宋" w:eastAsia="仿宋" w:cs="Times New Roman"/>
          <w:sz w:val="24"/>
          <w:szCs w:val="24"/>
        </w:rPr>
        <w:t>验证，采用本标准能有效保证</w:t>
      </w:r>
      <w:r>
        <w:rPr>
          <w:rFonts w:hint="eastAsia" w:ascii="仿宋" w:hAnsi="仿宋" w:eastAsia="仿宋" w:cs="Times New Roman"/>
          <w:sz w:val="24"/>
          <w:szCs w:val="24"/>
          <w:lang w:val="en-US" w:eastAsia="zh-CN"/>
        </w:rPr>
        <w:t>蛹虫草多糖</w:t>
      </w:r>
      <w:r>
        <w:rPr>
          <w:rFonts w:hint="eastAsia" w:ascii="仿宋" w:hAnsi="仿宋" w:eastAsia="仿宋" w:cs="Times New Roman"/>
          <w:sz w:val="24"/>
          <w:szCs w:val="24"/>
        </w:rPr>
        <w:t>产品质量，充分利用资源，降低生产成本。</w:t>
      </w:r>
    </w:p>
    <w:p w14:paraId="2F6DCACE">
      <w:pPr>
        <w:spacing w:line="360" w:lineRule="auto"/>
        <w:ind w:firstLine="480" w:firstLineChars="200"/>
        <w:rPr>
          <w:rFonts w:ascii="楷体" w:hAnsi="楷体" w:eastAsia="楷体" w:cs="Times New Roman"/>
          <w:sz w:val="24"/>
          <w:szCs w:val="24"/>
        </w:rPr>
      </w:pPr>
      <w:r>
        <w:rPr>
          <w:rFonts w:hint="eastAsia" w:ascii="楷体" w:hAnsi="楷体" w:eastAsia="楷体" w:cs="Times New Roman"/>
          <w:sz w:val="24"/>
          <w:szCs w:val="24"/>
        </w:rPr>
        <w:t>（四）是否影响生产经营行为</w:t>
      </w:r>
    </w:p>
    <w:p w14:paraId="591C3A8A">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lang w:val="en-US" w:eastAsia="zh-CN"/>
        </w:rPr>
        <w:t>多糖</w:t>
      </w:r>
      <w:r>
        <w:rPr>
          <w:rFonts w:hint="eastAsia" w:ascii="仿宋" w:hAnsi="仿宋" w:eastAsia="仿宋" w:cs="Times New Roman"/>
          <w:sz w:val="24"/>
          <w:szCs w:val="24"/>
        </w:rPr>
        <w:t>生产市场化程度较高，生产单位遍布湖南、</w:t>
      </w:r>
      <w:r>
        <w:rPr>
          <w:rFonts w:hint="eastAsia" w:ascii="仿宋" w:hAnsi="仿宋" w:eastAsia="仿宋" w:cs="Times New Roman"/>
          <w:sz w:val="24"/>
          <w:szCs w:val="24"/>
          <w:lang w:val="en-US" w:eastAsia="zh-CN"/>
        </w:rPr>
        <w:t>陕西</w:t>
      </w:r>
      <w:r>
        <w:rPr>
          <w:rFonts w:hint="eastAsia" w:ascii="仿宋" w:hAnsi="仿宋" w:eastAsia="仿宋" w:cs="Times New Roman"/>
          <w:sz w:val="24"/>
          <w:szCs w:val="24"/>
        </w:rPr>
        <w:t>、</w:t>
      </w:r>
      <w:r>
        <w:rPr>
          <w:rFonts w:hint="eastAsia" w:ascii="仿宋" w:hAnsi="仿宋" w:eastAsia="仿宋" w:cs="Times New Roman"/>
          <w:sz w:val="24"/>
          <w:szCs w:val="24"/>
          <w:lang w:val="en-US" w:eastAsia="zh-CN"/>
        </w:rPr>
        <w:t>江苏</w:t>
      </w:r>
      <w:r>
        <w:rPr>
          <w:rFonts w:hint="eastAsia" w:ascii="仿宋" w:hAnsi="仿宋" w:eastAsia="仿宋" w:cs="Times New Roman"/>
          <w:sz w:val="24"/>
          <w:szCs w:val="24"/>
        </w:rPr>
        <w:t>、</w:t>
      </w:r>
      <w:r>
        <w:rPr>
          <w:rFonts w:hint="eastAsia" w:ascii="仿宋" w:hAnsi="仿宋" w:eastAsia="仿宋" w:cs="Times New Roman"/>
          <w:sz w:val="24"/>
          <w:szCs w:val="24"/>
          <w:lang w:val="en-US" w:eastAsia="zh-CN"/>
        </w:rPr>
        <w:t>浙江</w:t>
      </w:r>
      <w:r>
        <w:rPr>
          <w:rFonts w:hint="eastAsia" w:ascii="仿宋" w:hAnsi="仿宋" w:eastAsia="仿宋" w:cs="Times New Roman"/>
          <w:sz w:val="24"/>
          <w:szCs w:val="24"/>
        </w:rPr>
        <w:t>、</w:t>
      </w:r>
      <w:r>
        <w:rPr>
          <w:rFonts w:hint="eastAsia" w:ascii="仿宋" w:hAnsi="仿宋" w:eastAsia="仿宋" w:cs="Times New Roman"/>
          <w:sz w:val="24"/>
          <w:szCs w:val="24"/>
          <w:lang w:val="en-US" w:eastAsia="zh-CN"/>
        </w:rPr>
        <w:t>河北</w:t>
      </w:r>
      <w:r>
        <w:rPr>
          <w:rFonts w:hint="eastAsia" w:ascii="仿宋" w:hAnsi="仿宋" w:eastAsia="仿宋" w:cs="Times New Roman"/>
          <w:sz w:val="24"/>
          <w:szCs w:val="24"/>
        </w:rPr>
        <w:t>等省。本标准确立的生产程序及技术要求，基于</w:t>
      </w:r>
      <w:r>
        <w:rPr>
          <w:rFonts w:hint="eastAsia" w:ascii="仿宋" w:hAnsi="仿宋" w:eastAsia="仿宋" w:cs="Times New Roman"/>
          <w:sz w:val="24"/>
          <w:szCs w:val="24"/>
          <w:lang w:val="en-US" w:eastAsia="zh-CN"/>
        </w:rPr>
        <w:t>多糖</w:t>
      </w:r>
      <w:r>
        <w:rPr>
          <w:rFonts w:hint="eastAsia" w:ascii="仿宋" w:hAnsi="仿宋" w:eastAsia="仿宋" w:cs="Times New Roman"/>
          <w:sz w:val="24"/>
          <w:szCs w:val="24"/>
        </w:rPr>
        <w:t>生产的</w:t>
      </w:r>
      <w:r>
        <w:rPr>
          <w:rFonts w:hint="eastAsia" w:ascii="仿宋" w:hAnsi="仿宋" w:eastAsia="仿宋" w:cs="Times New Roman"/>
          <w:sz w:val="24"/>
          <w:szCs w:val="24"/>
          <w:lang w:val="en-US" w:eastAsia="zh-CN"/>
        </w:rPr>
        <w:t>技术流程</w:t>
      </w:r>
      <w:r>
        <w:rPr>
          <w:rFonts w:hint="eastAsia" w:ascii="仿宋" w:hAnsi="仿宋" w:eastAsia="仿宋" w:cs="Times New Roman"/>
          <w:sz w:val="24"/>
          <w:szCs w:val="24"/>
        </w:rPr>
        <w:t>和多</w:t>
      </w:r>
      <w:r>
        <w:rPr>
          <w:rFonts w:hint="eastAsia" w:ascii="仿宋" w:hAnsi="仿宋" w:eastAsia="仿宋" w:cs="Times New Roman"/>
          <w:sz w:val="24"/>
          <w:szCs w:val="24"/>
          <w:lang w:val="en-US" w:eastAsia="zh-CN"/>
        </w:rPr>
        <w:t>家</w:t>
      </w:r>
      <w:r>
        <w:rPr>
          <w:rFonts w:hint="eastAsia" w:ascii="仿宋" w:hAnsi="仿宋" w:eastAsia="仿宋" w:cs="Times New Roman"/>
          <w:sz w:val="24"/>
          <w:szCs w:val="24"/>
        </w:rPr>
        <w:t>生产单位的经验总结，不含有为经营者实施垄断行为提供便利条件的内容，标准实施后也不会产生经营者实施垄断行为。本标准在行业内多轮征求意见及公开征求意见，均没有收到针对影响生产经营行为的相关意见。</w:t>
      </w:r>
    </w:p>
    <w:p w14:paraId="6F744E26">
      <w:pPr>
        <w:spacing w:line="360" w:lineRule="auto"/>
        <w:ind w:firstLine="480" w:firstLineChars="200"/>
        <w:rPr>
          <w:rFonts w:ascii="楷体" w:hAnsi="楷体" w:eastAsia="楷体" w:cs="Times New Roman"/>
          <w:sz w:val="24"/>
          <w:szCs w:val="24"/>
        </w:rPr>
      </w:pPr>
      <w:r>
        <w:rPr>
          <w:rFonts w:hint="eastAsia" w:ascii="楷体" w:hAnsi="楷体" w:eastAsia="楷体" w:cs="Times New Roman"/>
          <w:sz w:val="24"/>
          <w:szCs w:val="24"/>
        </w:rPr>
        <w:t>（五）是否适用《公平竞争审查条例》第十二条的规定</w:t>
      </w:r>
    </w:p>
    <w:p w14:paraId="318D80E8">
      <w:pPr>
        <w:spacing w:line="360" w:lineRule="auto"/>
        <w:ind w:firstLine="480" w:firstLineChars="200"/>
        <w:rPr>
          <w:rFonts w:ascii="仿宋" w:hAnsi="仿宋" w:eastAsia="仿宋" w:cs="Times New Roman"/>
          <w:sz w:val="24"/>
          <w:szCs w:val="24"/>
        </w:rPr>
      </w:pPr>
      <w:r>
        <w:rPr>
          <w:rFonts w:hint="eastAsia" w:ascii="仿宋" w:hAnsi="仿宋" w:eastAsia="仿宋" w:cs="Times New Roman"/>
          <w:sz w:val="24"/>
          <w:szCs w:val="24"/>
        </w:rPr>
        <w:t>本标准不具有排除、限制竞争效果，因此不适用《公平竞争审查条例》第十二条的规定。</w:t>
      </w:r>
    </w:p>
    <w:p w14:paraId="510FE303">
      <w:pPr>
        <w:spacing w:line="360" w:lineRule="auto"/>
        <w:ind w:firstLine="480" w:firstLineChars="200"/>
        <w:rPr>
          <w:rFonts w:ascii="楷体" w:hAnsi="楷体" w:eastAsia="楷体" w:cs="Times New Roman"/>
          <w:sz w:val="24"/>
          <w:szCs w:val="24"/>
        </w:rPr>
      </w:pPr>
      <w:r>
        <w:rPr>
          <w:rFonts w:hint="eastAsia" w:ascii="楷体" w:hAnsi="楷体" w:eastAsia="楷体" w:cs="Times New Roman"/>
          <w:sz w:val="24"/>
          <w:szCs w:val="24"/>
        </w:rPr>
        <w:t>（六）结论</w:t>
      </w:r>
    </w:p>
    <w:p w14:paraId="1062D789">
      <w:pPr>
        <w:spacing w:line="360" w:lineRule="auto"/>
        <w:ind w:firstLine="480" w:firstLineChars="200"/>
        <w:rPr>
          <w:rFonts w:ascii="仿宋" w:hAnsi="仿宋" w:eastAsia="仿宋" w:cs="Times New Roman"/>
          <w:sz w:val="24"/>
          <w:szCs w:val="24"/>
          <w:highlight w:val="yellow"/>
        </w:rPr>
      </w:pPr>
      <w:r>
        <w:rPr>
          <w:rFonts w:hint="eastAsia" w:ascii="仿宋" w:hAnsi="仿宋" w:eastAsia="仿宋" w:cs="Times New Roman"/>
          <w:sz w:val="24"/>
          <w:szCs w:val="24"/>
        </w:rPr>
        <w:t>审查结论为符合公平竞争审查标准。</w:t>
      </w:r>
    </w:p>
    <w:p w14:paraId="129F4007">
      <w:pPr>
        <w:numPr>
          <w:ilvl w:val="0"/>
          <w:numId w:val="2"/>
        </w:numPr>
        <w:spacing w:line="360" w:lineRule="auto"/>
        <w:ind w:left="0" w:leftChars="0" w:firstLine="0" w:firstLineChars="0"/>
        <w:rPr>
          <w:rFonts w:hint="eastAsia" w:ascii="黑体" w:hAnsi="黑体" w:eastAsia="黑体"/>
          <w:sz w:val="24"/>
          <w:szCs w:val="24"/>
        </w:rPr>
      </w:pPr>
      <w:r>
        <w:rPr>
          <w:rFonts w:hint="eastAsia" w:ascii="黑体" w:hAnsi="黑体" w:eastAsia="黑体"/>
          <w:sz w:val="24"/>
          <w:szCs w:val="24"/>
        </w:rPr>
        <w:t>涉及专利的有关说明</w:t>
      </w:r>
    </w:p>
    <w:p w14:paraId="3F76AE6C">
      <w:pPr>
        <w:spacing w:line="360" w:lineRule="auto"/>
        <w:ind w:firstLine="480" w:firstLineChars="200"/>
        <w:rPr>
          <w:rFonts w:hint="eastAsia" w:ascii="黑体" w:hAnsi="黑体" w:eastAsia="黑体"/>
          <w:sz w:val="24"/>
          <w:szCs w:val="24"/>
        </w:rPr>
      </w:pPr>
      <w:r>
        <w:rPr>
          <w:rFonts w:hint="eastAsia" w:ascii="仿宋" w:hAnsi="仿宋" w:eastAsia="仿宋"/>
          <w:sz w:val="24"/>
          <w:szCs w:val="24"/>
        </w:rPr>
        <w:t>本标准不涉及专利。</w:t>
      </w:r>
    </w:p>
    <w:p w14:paraId="32E3CA49">
      <w:pPr>
        <w:numPr>
          <w:ilvl w:val="0"/>
          <w:numId w:val="2"/>
        </w:numPr>
        <w:spacing w:line="360" w:lineRule="auto"/>
        <w:ind w:left="0" w:leftChars="0" w:firstLine="0" w:firstLineChars="0"/>
        <w:rPr>
          <w:rFonts w:hint="eastAsia" w:ascii="黑体" w:hAnsi="黑体" w:eastAsia="黑体"/>
          <w:sz w:val="24"/>
          <w:szCs w:val="24"/>
        </w:rPr>
      </w:pPr>
      <w:r>
        <w:rPr>
          <w:rFonts w:hint="eastAsia" w:ascii="黑体" w:hAnsi="黑体" w:eastAsia="黑体"/>
          <w:sz w:val="24"/>
          <w:szCs w:val="24"/>
        </w:rPr>
        <w:t>实施</w:t>
      </w:r>
      <w:r>
        <w:rPr>
          <w:rFonts w:hint="eastAsia" w:ascii="黑体" w:hAnsi="黑体" w:eastAsia="黑体"/>
          <w:sz w:val="24"/>
          <w:szCs w:val="24"/>
          <w:lang w:val="en-US" w:eastAsia="zh-CN"/>
        </w:rPr>
        <w:t>行业</w:t>
      </w:r>
      <w:r>
        <w:rPr>
          <w:rFonts w:hint="eastAsia" w:ascii="黑体" w:hAnsi="黑体" w:eastAsia="黑体"/>
          <w:sz w:val="24"/>
          <w:szCs w:val="24"/>
        </w:rPr>
        <w:t>标准的要求，以及组织措施、技术措施、过渡期和实施日期的建议等措施建议</w:t>
      </w:r>
    </w:p>
    <w:p w14:paraId="78068B90">
      <w:pPr>
        <w:spacing w:line="360" w:lineRule="auto"/>
        <w:ind w:firstLine="480" w:firstLineChars="200"/>
        <w:rPr>
          <w:rFonts w:hint="eastAsia" w:ascii="仿宋" w:hAnsi="仿宋" w:eastAsia="仿宋" w:cs="Times New Roman"/>
          <w:sz w:val="24"/>
          <w:szCs w:val="24"/>
        </w:rPr>
      </w:pP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一</w:t>
      </w:r>
      <w:r>
        <w:rPr>
          <w:rFonts w:hint="eastAsia" w:ascii="仿宋" w:hAnsi="仿宋" w:eastAsia="仿宋" w:cs="Times New Roman"/>
          <w:sz w:val="24"/>
          <w:szCs w:val="24"/>
          <w:lang w:eastAsia="zh-CN"/>
        </w:rPr>
        <w:t>）</w:t>
      </w:r>
      <w:r>
        <w:rPr>
          <w:rFonts w:hint="eastAsia" w:ascii="仿宋" w:hAnsi="仿宋" w:eastAsia="仿宋" w:cs="Times New Roman"/>
          <w:sz w:val="24"/>
          <w:szCs w:val="24"/>
        </w:rPr>
        <w:t>实施行业标准的要求</w:t>
      </w:r>
    </w:p>
    <w:p w14:paraId="3F2E5D6C">
      <w:pPr>
        <w:spacing w:line="360" w:lineRule="auto"/>
        <w:ind w:firstLine="480" w:firstLineChars="200"/>
        <w:rPr>
          <w:rFonts w:hint="eastAsia" w:ascii="仿宋" w:hAnsi="仿宋" w:eastAsia="仿宋" w:cs="Times New Roman"/>
          <w:sz w:val="24"/>
          <w:szCs w:val="24"/>
        </w:rPr>
      </w:pPr>
      <w:r>
        <w:rPr>
          <w:rFonts w:hint="eastAsia" w:ascii="仿宋" w:hAnsi="仿宋" w:eastAsia="仿宋" w:cs="Times New Roman"/>
          <w:sz w:val="24"/>
          <w:szCs w:val="24"/>
          <w:lang w:val="en-US" w:eastAsia="zh-CN"/>
        </w:rPr>
        <w:t>蛹虫草多糖生产单位实施本标准需具备符合要求的生产场地和设施设备等基本条件，设备运行正常，并建立相应的维护保养制度。原料采购环节需保障蛹虫草基材、辅料、溶剂等来源稳定可靠，质量符合相关标准要求，生产用水、纯化用水符合标准及规程规定且供应稳定。各岗位工作人员熟悉标准工艺要求、质量管控要点和操作规范，并严格按照规程执行。生产全过程档案记录做到及时、真实、完整，实现原料进厂、生产加工、检验检测、成品出厂全程可追溯。</w:t>
      </w:r>
    </w:p>
    <w:p w14:paraId="430808C1">
      <w:pPr>
        <w:spacing w:line="360" w:lineRule="auto"/>
        <w:ind w:firstLine="480" w:firstLineChars="200"/>
        <w:rPr>
          <w:rFonts w:hint="eastAsia" w:ascii="仿宋" w:hAnsi="仿宋" w:eastAsia="仿宋" w:cs="Times New Roman"/>
          <w:sz w:val="24"/>
          <w:szCs w:val="24"/>
        </w:rPr>
      </w:pPr>
      <w:r>
        <w:rPr>
          <w:rFonts w:hint="eastAsia" w:ascii="仿宋" w:hAnsi="仿宋" w:eastAsia="仿宋" w:cs="Times New Roman"/>
          <w:sz w:val="24"/>
          <w:szCs w:val="24"/>
          <w:lang w:eastAsia="zh-CN"/>
        </w:rPr>
        <w:t>（</w:t>
      </w:r>
      <w:r>
        <w:rPr>
          <w:rFonts w:hint="eastAsia" w:ascii="仿宋" w:hAnsi="仿宋" w:eastAsia="仿宋" w:cs="Times New Roman"/>
          <w:sz w:val="24"/>
          <w:szCs w:val="24"/>
        </w:rPr>
        <w:t>二</w:t>
      </w:r>
      <w:r>
        <w:rPr>
          <w:rFonts w:hint="eastAsia" w:ascii="仿宋" w:hAnsi="仿宋" w:eastAsia="仿宋" w:cs="Times New Roman"/>
          <w:sz w:val="24"/>
          <w:szCs w:val="24"/>
          <w:lang w:eastAsia="zh-CN"/>
        </w:rPr>
        <w:t>）</w:t>
      </w:r>
      <w:r>
        <w:rPr>
          <w:rFonts w:hint="eastAsia" w:ascii="仿宋" w:hAnsi="仿宋" w:eastAsia="仿宋" w:cs="Times New Roman"/>
          <w:sz w:val="24"/>
          <w:szCs w:val="24"/>
        </w:rPr>
        <w:t>组织措施建议</w:t>
      </w:r>
    </w:p>
    <w:p w14:paraId="6CB54E55">
      <w:pPr>
        <w:spacing w:line="360" w:lineRule="auto"/>
        <w:ind w:firstLine="480" w:firstLineChars="200"/>
        <w:rPr>
          <w:rFonts w:hint="eastAsia" w:ascii="仿宋" w:hAnsi="仿宋" w:eastAsia="仿宋" w:cs="Times New Roman"/>
          <w:sz w:val="24"/>
          <w:szCs w:val="24"/>
        </w:rPr>
      </w:pPr>
      <w:r>
        <w:rPr>
          <w:rFonts w:hint="eastAsia" w:ascii="仿宋" w:hAnsi="仿宋" w:eastAsia="仿宋" w:cs="Times New Roman"/>
          <w:sz w:val="24"/>
          <w:szCs w:val="24"/>
          <w:lang w:val="en-US" w:eastAsia="zh-CN"/>
        </w:rPr>
        <w:t>本标准批准发布后，建议市场监管、农业农村、供销合作等部门及行业协会面向蛹虫草多糖生产、加工、检验相关单位开展宣贯培训，帮助生产单位全面了解和掌握标准核心内容与实施要求。行业协会结合行业发展现状和生产实际，制定标准实施具体推进方案，细化落地步骤，指导生产单位规范执行标准。</w:t>
      </w:r>
    </w:p>
    <w:p w14:paraId="128542FA">
      <w:pPr>
        <w:spacing w:line="360" w:lineRule="auto"/>
        <w:ind w:firstLine="480" w:firstLineChars="200"/>
        <w:rPr>
          <w:rFonts w:hint="eastAsia" w:ascii="仿宋" w:hAnsi="仿宋" w:eastAsia="仿宋" w:cs="Times New Roman"/>
          <w:sz w:val="24"/>
          <w:szCs w:val="24"/>
        </w:rPr>
      </w:pPr>
      <w:r>
        <w:rPr>
          <w:rFonts w:hint="eastAsia" w:ascii="仿宋" w:hAnsi="仿宋" w:eastAsia="仿宋" w:cs="Times New Roman"/>
          <w:sz w:val="24"/>
          <w:szCs w:val="24"/>
          <w:lang w:val="en-US" w:eastAsia="zh-CN"/>
        </w:rPr>
        <w:t>蛹虫草多糖生产单位对照本标准，全面评估现有生产条件、工艺布局和质量管控现状，制定贴合自身实际的标准实施计划。编制和完善本单位多糖生产关键岗位操作手册，及时组织生产、技术、质检、管理等岗位人员专项培训，重点针对原料管控、提取纯化工艺、质量指标控制、检验检测方法等内容开展实操培训，确保全员精准掌握标准要求。</w:t>
      </w:r>
    </w:p>
    <w:p w14:paraId="06E5D957">
      <w:pPr>
        <w:spacing w:line="360" w:lineRule="auto"/>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三、技术措施建议</w:t>
      </w:r>
    </w:p>
    <w:p w14:paraId="28F6BD60">
      <w:pPr>
        <w:spacing w:line="360" w:lineRule="auto"/>
        <w:ind w:firstLine="480" w:firstLineChars="200"/>
        <w:rPr>
          <w:rFonts w:hint="eastAsia" w:ascii="仿宋" w:hAnsi="仿宋" w:eastAsia="仿宋" w:cs="Times New Roman"/>
          <w:sz w:val="24"/>
          <w:szCs w:val="24"/>
        </w:rPr>
      </w:pPr>
      <w:r>
        <w:rPr>
          <w:rFonts w:hint="eastAsia" w:ascii="仿宋" w:hAnsi="仿宋" w:eastAsia="仿宋" w:cs="Times New Roman"/>
          <w:sz w:val="24"/>
          <w:szCs w:val="24"/>
          <w:lang w:val="en-US" w:eastAsia="zh-CN"/>
        </w:rPr>
        <w:t>蛹虫草多糖生产单位对照本标准要求，逐项核查生产场地、设施设备、洁净区域、检验仪器的符合性，对不符合项及时进行更新改造、补充完善或维修校准，保障生产硬件条件达标。涉及原料配方优化、工艺参数调整、检测方法更新时，先采取多批次小批量试生产方式，验证原料配比、工艺参数、产品质量稳定合格后，再逐步扩大规模化生产，便于及时排查问题、降低生产损耗。</w:t>
      </w:r>
    </w:p>
    <w:p w14:paraId="126F8369">
      <w:pPr>
        <w:spacing w:line="360" w:lineRule="auto"/>
        <w:ind w:firstLine="480" w:firstLineChars="200"/>
        <w:rPr>
          <w:rFonts w:hint="eastAsia" w:ascii="仿宋" w:hAnsi="仿宋" w:eastAsia="仿宋" w:cs="Times New Roman"/>
          <w:sz w:val="24"/>
          <w:szCs w:val="24"/>
        </w:rPr>
      </w:pPr>
      <w:r>
        <w:rPr>
          <w:rFonts w:hint="eastAsia" w:ascii="仿宋" w:hAnsi="仿宋" w:eastAsia="仿宋" w:cs="Times New Roman"/>
          <w:sz w:val="24"/>
          <w:szCs w:val="24"/>
          <w:lang w:val="en-US" w:eastAsia="zh-CN"/>
        </w:rPr>
        <w:t>生产单位建立标准实施技术自查机制，定期复核工艺执行、指标检测、卫生管控等环节落实情况，依托科研机构或第三方技术平台开展技术指导，解决标准实施过程中的技术难题，确保生产全过程符合规程技术要求。</w:t>
      </w:r>
    </w:p>
    <w:p w14:paraId="139EBD2C">
      <w:pPr>
        <w:spacing w:line="360" w:lineRule="auto"/>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四、过渡期和实施日期建议</w:t>
      </w:r>
    </w:p>
    <w:p w14:paraId="6B3B4DA7">
      <w:pPr>
        <w:spacing w:line="360" w:lineRule="auto"/>
        <w:ind w:firstLine="480" w:firstLineChars="200"/>
        <w:rPr>
          <w:rFonts w:hint="eastAsia" w:ascii="仿宋" w:hAnsi="仿宋" w:eastAsia="仿宋" w:cs="Times New Roman"/>
          <w:sz w:val="24"/>
          <w:szCs w:val="24"/>
        </w:rPr>
      </w:pPr>
      <w:r>
        <w:rPr>
          <w:rFonts w:hint="eastAsia" w:ascii="仿宋" w:hAnsi="仿宋" w:eastAsia="仿宋" w:cs="Times New Roman"/>
          <w:sz w:val="24"/>
          <w:szCs w:val="24"/>
          <w:lang w:val="en-US" w:eastAsia="zh-CN"/>
        </w:rPr>
        <w:t>本标准实施日期按行业标准发布实施的一般要求确定，无需设置特定的过渡期。</w:t>
      </w:r>
    </w:p>
    <w:p w14:paraId="60B858F6">
      <w:pPr>
        <w:spacing w:line="360" w:lineRule="auto"/>
        <w:rPr>
          <w:rFonts w:ascii="黑体" w:hAnsi="黑体" w:eastAsia="黑体"/>
          <w:sz w:val="24"/>
          <w:szCs w:val="24"/>
        </w:rPr>
      </w:pPr>
      <w:r>
        <w:rPr>
          <w:rFonts w:hint="eastAsia" w:ascii="黑体" w:hAnsi="黑体" w:eastAsia="黑体"/>
          <w:sz w:val="24"/>
          <w:szCs w:val="24"/>
        </w:rPr>
        <w:t>十</w:t>
      </w:r>
      <w:r>
        <w:rPr>
          <w:rFonts w:hint="eastAsia" w:ascii="黑体" w:hAnsi="黑体" w:eastAsia="黑体"/>
          <w:sz w:val="24"/>
          <w:szCs w:val="24"/>
          <w:lang w:eastAsia="zh-CN"/>
        </w:rPr>
        <w:t>一</w:t>
      </w:r>
      <w:r>
        <w:rPr>
          <w:rFonts w:hint="eastAsia" w:ascii="黑体" w:hAnsi="黑体" w:eastAsia="黑体"/>
          <w:sz w:val="24"/>
          <w:szCs w:val="24"/>
        </w:rPr>
        <w:t>、其他应当说明的事项</w:t>
      </w:r>
    </w:p>
    <w:p w14:paraId="458EEE57">
      <w:pPr>
        <w:numPr>
          <w:ilvl w:val="0"/>
          <w:numId w:val="0"/>
        </w:numPr>
        <w:spacing w:line="360" w:lineRule="auto"/>
        <w:ind w:leftChars="200"/>
        <w:rPr>
          <w:rFonts w:hint="eastAsia" w:ascii="仿宋" w:hAnsi="仿宋" w:eastAsia="仿宋" w:cs="Times New Roman"/>
          <w:b/>
          <w:bCs/>
          <w:sz w:val="24"/>
          <w:szCs w:val="24"/>
        </w:rPr>
      </w:pPr>
      <w:r>
        <w:rPr>
          <w:rFonts w:hint="eastAsia" w:ascii="仿宋" w:hAnsi="仿宋" w:eastAsia="仿宋" w:cs="Times New Roman"/>
          <w:b/>
          <w:bCs/>
          <w:sz w:val="24"/>
          <w:szCs w:val="24"/>
          <w:lang w:val="en-US" w:eastAsia="zh-CN"/>
        </w:rPr>
        <w:t>1.</w:t>
      </w:r>
      <w:r>
        <w:rPr>
          <w:rFonts w:hint="eastAsia" w:ascii="仿宋" w:hAnsi="仿宋" w:eastAsia="仿宋" w:cs="Times New Roman"/>
          <w:b/>
          <w:bCs/>
          <w:sz w:val="24"/>
          <w:szCs w:val="24"/>
        </w:rPr>
        <w:t xml:space="preserve">潜在冲突与建议 </w:t>
      </w:r>
    </w:p>
    <w:p w14:paraId="48BE7D30">
      <w:pPr>
        <w:spacing w:line="360" w:lineRule="auto"/>
        <w:ind w:firstLine="480" w:firstLineChars="200"/>
        <w:jc w:val="both"/>
        <w:rPr>
          <w:rFonts w:hint="eastAsia" w:ascii="仿宋" w:hAnsi="仿宋" w:eastAsia="仿宋" w:cs="Times New Roman"/>
          <w:sz w:val="24"/>
          <w:szCs w:val="24"/>
        </w:rPr>
      </w:pPr>
      <w:r>
        <w:rPr>
          <w:rFonts w:hint="eastAsia" w:ascii="仿宋" w:hAnsi="仿宋" w:eastAsia="仿宋" w:cs="Times New Roman"/>
          <w:sz w:val="24"/>
          <w:szCs w:val="24"/>
          <w:lang w:val="en-US" w:eastAsia="zh-CN"/>
        </w:rPr>
        <w:t>（1）</w:t>
      </w:r>
      <w:r>
        <w:rPr>
          <w:rFonts w:hint="eastAsia" w:ascii="仿宋" w:hAnsi="仿宋" w:eastAsia="仿宋" w:cs="Times New Roman"/>
          <w:sz w:val="24"/>
          <w:szCs w:val="24"/>
        </w:rPr>
        <w:t>标准重叠风险</w:t>
      </w:r>
      <w:r>
        <w:rPr>
          <w:rFonts w:hint="eastAsia" w:ascii="仿宋" w:hAnsi="仿宋" w:eastAsia="仿宋" w:cs="Times New Roman"/>
          <w:sz w:val="24"/>
          <w:szCs w:val="24"/>
          <w:lang w:eastAsia="zh-CN"/>
        </w:rPr>
        <w:t>：</w:t>
      </w:r>
      <w:r>
        <w:rPr>
          <w:rFonts w:hint="eastAsia" w:ascii="仿宋" w:hAnsi="仿宋" w:eastAsia="仿宋" w:cs="Times New Roman"/>
          <w:sz w:val="24"/>
          <w:szCs w:val="24"/>
        </w:rPr>
        <w:t>若现有行业标准（如《药用真菌质量标准》）已涵盖多糖提取技术，需避免重复规定。建议通过标准整合或引用方式协调，例如在本标准中明确引用相关行业标准的技术条款。</w:t>
      </w:r>
    </w:p>
    <w:p w14:paraId="13E652FF">
      <w:pPr>
        <w:spacing w:line="360" w:lineRule="auto"/>
        <w:ind w:firstLine="480" w:firstLineChars="200"/>
        <w:jc w:val="both"/>
        <w:rPr>
          <w:rFonts w:hint="eastAsia" w:ascii="仿宋" w:hAnsi="仿宋" w:eastAsia="仿宋" w:cs="Times New Roman"/>
          <w:sz w:val="24"/>
          <w:szCs w:val="24"/>
        </w:rPr>
      </w:pPr>
      <w:r>
        <w:rPr>
          <w:rFonts w:hint="eastAsia" w:ascii="仿宋" w:hAnsi="仿宋" w:eastAsia="仿宋" w:cs="Times New Roman"/>
          <w:sz w:val="24"/>
          <w:szCs w:val="24"/>
          <w:lang w:val="en-US" w:eastAsia="zh-CN"/>
        </w:rPr>
        <w:t>（2）</w:t>
      </w:r>
      <w:r>
        <w:rPr>
          <w:rFonts w:hint="eastAsia" w:ascii="仿宋" w:hAnsi="仿宋" w:eastAsia="仿宋" w:cs="Times New Roman"/>
          <w:sz w:val="24"/>
          <w:szCs w:val="24"/>
        </w:rPr>
        <w:t>国际标准差异</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针对</w:t>
      </w:r>
      <w:r>
        <w:rPr>
          <w:rFonts w:hint="eastAsia" w:ascii="仿宋" w:hAnsi="仿宋" w:eastAsia="仿宋" w:cs="Times New Roman"/>
          <w:sz w:val="24"/>
          <w:szCs w:val="24"/>
        </w:rPr>
        <w:t>欧盟对砷（≤</w:t>
      </w:r>
      <w:r>
        <w:rPr>
          <w:rFonts w:hint="eastAsia" w:ascii="仿宋" w:hAnsi="仿宋" w:eastAsia="仿宋" w:cs="Times New Roman"/>
          <w:sz w:val="24"/>
          <w:szCs w:val="24"/>
          <w:lang w:val="en-US" w:eastAsia="zh-CN"/>
        </w:rPr>
        <w:t>0.1-0.5</w:t>
      </w:r>
      <w:r>
        <w:rPr>
          <w:rFonts w:hint="eastAsia" w:ascii="仿宋" w:hAnsi="仿宋" w:eastAsia="仿宋" w:cs="Times New Roman"/>
          <w:sz w:val="24"/>
          <w:szCs w:val="24"/>
        </w:rPr>
        <w:t>mg/kg）的限量严于国内标准（≤</w:t>
      </w:r>
      <w:r>
        <w:rPr>
          <w:rFonts w:hint="eastAsia" w:ascii="仿宋" w:hAnsi="仿宋" w:eastAsia="仿宋" w:cs="Times New Roman"/>
          <w:sz w:val="24"/>
          <w:szCs w:val="24"/>
          <w:lang w:val="en-US" w:eastAsia="zh-CN"/>
        </w:rPr>
        <w:t>0.5</w:t>
      </w:r>
      <w:r>
        <w:rPr>
          <w:rFonts w:hint="eastAsia" w:ascii="仿宋" w:hAnsi="仿宋" w:eastAsia="仿宋" w:cs="Times New Roman"/>
          <w:sz w:val="24"/>
          <w:szCs w:val="24"/>
        </w:rPr>
        <w:t>mg/kg）</w:t>
      </w:r>
      <w:r>
        <w:rPr>
          <w:rFonts w:hint="eastAsia" w:ascii="仿宋" w:hAnsi="仿宋" w:eastAsia="仿宋" w:cs="Times New Roman"/>
          <w:sz w:val="24"/>
          <w:szCs w:val="24"/>
          <w:lang w:eastAsia="zh-CN"/>
        </w:rPr>
        <w:t>情况</w:t>
      </w:r>
      <w:r>
        <w:rPr>
          <w:rFonts w:hint="eastAsia" w:ascii="仿宋" w:hAnsi="仿宋" w:eastAsia="仿宋" w:cs="Times New Roman"/>
          <w:sz w:val="24"/>
          <w:szCs w:val="24"/>
        </w:rPr>
        <w:t>，若产品出口欧盟，</w:t>
      </w:r>
      <w:r>
        <w:rPr>
          <w:rFonts w:hint="eastAsia" w:ascii="仿宋" w:hAnsi="仿宋" w:eastAsia="仿宋" w:cs="Times New Roman"/>
          <w:sz w:val="24"/>
          <w:szCs w:val="24"/>
          <w:lang w:val="en-US" w:eastAsia="zh-CN"/>
        </w:rPr>
        <w:t>参照欧盟</w:t>
      </w:r>
      <w:r>
        <w:rPr>
          <w:rFonts w:hint="eastAsia" w:ascii="仿宋" w:hAnsi="仿宋" w:eastAsia="仿宋" w:cs="Times New Roman"/>
          <w:sz w:val="24"/>
          <w:szCs w:val="24"/>
        </w:rPr>
        <w:t>标准</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但欧盟未来可能存在更新更严苛的标准</w:t>
      </w:r>
      <w:r>
        <w:rPr>
          <w:rFonts w:hint="eastAsia" w:ascii="仿宋" w:hAnsi="仿宋" w:eastAsia="仿宋" w:cs="Times New Roman"/>
          <w:sz w:val="24"/>
          <w:szCs w:val="24"/>
        </w:rPr>
        <w:t>。</w:t>
      </w:r>
    </w:p>
    <w:p w14:paraId="2C4FEE2F">
      <w:pPr>
        <w:spacing w:line="360" w:lineRule="auto"/>
        <w:ind w:firstLine="482" w:firstLineChars="200"/>
        <w:rPr>
          <w:rFonts w:hint="eastAsia" w:ascii="仿宋" w:hAnsi="仿宋" w:eastAsia="仿宋" w:cs="Times New Roman"/>
          <w:b/>
          <w:bCs/>
          <w:sz w:val="24"/>
          <w:szCs w:val="24"/>
          <w:lang w:val="en-US" w:eastAsia="zh-CN"/>
        </w:rPr>
      </w:pPr>
      <w:r>
        <w:rPr>
          <w:rFonts w:hint="eastAsia" w:ascii="仿宋" w:hAnsi="仿宋" w:eastAsia="仿宋" w:cs="Times New Roman"/>
          <w:b/>
          <w:bCs/>
          <w:sz w:val="24"/>
          <w:szCs w:val="24"/>
          <w:lang w:val="en-US" w:eastAsia="zh-CN"/>
        </w:rPr>
        <w:t>2.风险分析</w:t>
      </w:r>
    </w:p>
    <w:p w14:paraId="1E05E8BB">
      <w:pPr>
        <w:spacing w:line="360" w:lineRule="auto"/>
        <w:ind w:firstLine="480" w:firstLineChars="200"/>
        <w:jc w:val="both"/>
        <w:rPr>
          <w:rFonts w:hint="eastAsia" w:ascii="仿宋" w:hAnsi="仿宋" w:eastAsia="仿宋" w:cs="Times New Roman"/>
          <w:sz w:val="24"/>
          <w:szCs w:val="24"/>
        </w:rPr>
      </w:pPr>
      <w:r>
        <w:rPr>
          <w:rFonts w:hint="eastAsia" w:ascii="仿宋" w:hAnsi="仿宋" w:eastAsia="仿宋" w:cs="Times New Roman"/>
          <w:sz w:val="24"/>
          <w:szCs w:val="24"/>
        </w:rPr>
        <w:t>“蛹虫草多糖提取技术规程”标准的制定和实施将涉及多个利益相关方，并对行业产生多维度影响。以下结合现有信息及行业背景展开分析：</w:t>
      </w:r>
    </w:p>
    <w:p w14:paraId="505A8FDC">
      <w:pPr>
        <w:spacing w:line="360" w:lineRule="auto"/>
        <w:ind w:firstLine="480" w:firstLineChars="200"/>
        <w:jc w:val="both"/>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1）生产企业：通过制定《蛹虫草多糖生产技术规程》，规范企业蛹虫草多糖提取过程中各阶段的控制及规范，短期内，对操作和管理不规范的企业可能有不适应的情况，但通过标准的规范，能提高企业的标准化操作流程，从而优化生产流程，提高产品质量，提升市场竞争力。对</w:t>
      </w:r>
      <w:r>
        <w:rPr>
          <w:rFonts w:hint="eastAsia" w:ascii="仿宋" w:hAnsi="仿宋" w:eastAsia="仿宋" w:cs="Times New Roman"/>
          <w:sz w:val="24"/>
          <w:szCs w:val="24"/>
        </w:rPr>
        <w:t>大型企业可能因技术优势快速适应，而中小企业可能面临成本压力</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从长远分析，将促进生产企业优胜劣汰，淘汰落后产能，有利于行业和产业的发展。</w:t>
      </w:r>
    </w:p>
    <w:p w14:paraId="1AC69CB6">
      <w:pPr>
        <w:spacing w:line="360" w:lineRule="auto"/>
        <w:ind w:firstLine="480" w:firstLineChars="200"/>
        <w:jc w:val="both"/>
        <w:rPr>
          <w:rFonts w:hint="eastAsia" w:ascii="仿宋" w:hAnsi="仿宋" w:eastAsia="仿宋" w:cs="Times New Roman"/>
          <w:sz w:val="24"/>
          <w:szCs w:val="24"/>
          <w:lang w:val="en-US" w:eastAsia="zh-CN"/>
        </w:rPr>
      </w:pPr>
      <w:r>
        <w:rPr>
          <w:rFonts w:hint="eastAsia" w:ascii="仿宋" w:hAnsi="仿宋" w:eastAsia="仿宋" w:cs="Times New Roman"/>
          <w:sz w:val="24"/>
          <w:szCs w:val="24"/>
          <w:lang w:val="en-US" w:eastAsia="zh-CN"/>
        </w:rPr>
        <w:t>（2）原材料供应商：《蛹虫草多糖生产技术规程》，明确规范了蛹虫草原料的要求，包括多糖得率、杂质含量、含水量、重金属指标等，通过进一步规范原材料要求，进一步提高蛹虫草多糖的质量。这无形中也规范了原料生产企业的要求和标准，促进原料企业的管理和提升。</w:t>
      </w:r>
    </w:p>
    <w:p w14:paraId="06EF0CE9">
      <w:pPr>
        <w:spacing w:line="360" w:lineRule="auto"/>
        <w:ind w:firstLine="480" w:firstLineChars="200"/>
        <w:jc w:val="both"/>
        <w:rPr>
          <w:rFonts w:hint="eastAsia" w:ascii="仿宋" w:hAnsi="仿宋" w:eastAsia="仿宋" w:cs="Times New Roman"/>
          <w:sz w:val="24"/>
          <w:szCs w:val="24"/>
        </w:rPr>
      </w:pP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3</w:t>
      </w:r>
      <w:r>
        <w:rPr>
          <w:rFonts w:hint="eastAsia" w:ascii="仿宋" w:hAnsi="仿宋" w:eastAsia="仿宋" w:cs="Times New Roman"/>
          <w:sz w:val="24"/>
          <w:szCs w:val="24"/>
          <w:lang w:eastAsia="zh-CN"/>
        </w:rPr>
        <w:t>）</w:t>
      </w:r>
      <w:r>
        <w:rPr>
          <w:rFonts w:hint="eastAsia" w:ascii="仿宋" w:hAnsi="仿宋" w:eastAsia="仿宋" w:cs="Times New Roman"/>
          <w:sz w:val="24"/>
          <w:szCs w:val="24"/>
        </w:rPr>
        <w:t>监管与政策制定部门</w:t>
      </w:r>
      <w:r>
        <w:rPr>
          <w:rFonts w:hint="eastAsia" w:ascii="仿宋" w:hAnsi="仿宋" w:eastAsia="仿宋" w:cs="Times New Roman"/>
          <w:sz w:val="24"/>
          <w:szCs w:val="24"/>
          <w:lang w:eastAsia="zh-CN"/>
        </w:rPr>
        <w:t>：</w:t>
      </w:r>
      <w:r>
        <w:rPr>
          <w:rFonts w:hint="eastAsia" w:ascii="仿宋" w:hAnsi="仿宋" w:eastAsia="仿宋" w:cs="Times New Roman"/>
          <w:sz w:val="24"/>
          <w:szCs w:val="24"/>
        </w:rPr>
        <w:t xml:space="preserve">如国家药监局、市场监管总局负责标准的审批和执行，地方市场监督管理局（如大连市）参与地方标准制定。监管部门需通过抽检、认证等手段确保企业合规，打击假冒伪劣产品。  </w:t>
      </w:r>
    </w:p>
    <w:p w14:paraId="71516927">
      <w:pPr>
        <w:spacing w:line="360" w:lineRule="auto"/>
        <w:ind w:firstLine="480" w:firstLineChars="200"/>
        <w:jc w:val="both"/>
        <w:rPr>
          <w:rFonts w:hint="eastAsia" w:ascii="仿宋" w:hAnsi="仿宋" w:eastAsia="仿宋" w:cs="Times New Roman"/>
          <w:sz w:val="24"/>
          <w:szCs w:val="24"/>
        </w:rPr>
      </w:pP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4</w:t>
      </w:r>
      <w:r>
        <w:rPr>
          <w:rFonts w:hint="eastAsia" w:ascii="仿宋" w:hAnsi="仿宋" w:eastAsia="仿宋" w:cs="Times New Roman"/>
          <w:sz w:val="24"/>
          <w:szCs w:val="24"/>
          <w:lang w:eastAsia="zh-CN"/>
        </w:rPr>
        <w:t>）</w:t>
      </w:r>
      <w:r>
        <w:rPr>
          <w:rFonts w:hint="eastAsia" w:ascii="仿宋" w:hAnsi="仿宋" w:eastAsia="仿宋" w:cs="Times New Roman"/>
          <w:sz w:val="24"/>
          <w:szCs w:val="24"/>
        </w:rPr>
        <w:t>行业协会</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湖南省食用菌协会、中国食用菌协会等参与</w:t>
      </w:r>
      <w:r>
        <w:rPr>
          <w:rFonts w:hint="eastAsia" w:ascii="仿宋" w:hAnsi="仿宋" w:eastAsia="仿宋" w:cs="Times New Roman"/>
          <w:sz w:val="24"/>
          <w:szCs w:val="24"/>
        </w:rPr>
        <w:t>标准起草，推动行业规范化，可能通过培训、认证等方式帮助企业适应标准。</w:t>
      </w:r>
    </w:p>
    <w:p w14:paraId="1B8FBD14">
      <w:pPr>
        <w:spacing w:line="360" w:lineRule="auto"/>
        <w:ind w:firstLine="480" w:firstLineChars="200"/>
        <w:jc w:val="both"/>
        <w:rPr>
          <w:rFonts w:hint="eastAsia" w:ascii="仿宋" w:hAnsi="仿宋" w:eastAsia="仿宋" w:cs="Times New Roman"/>
          <w:sz w:val="24"/>
          <w:szCs w:val="24"/>
          <w:lang w:eastAsia="zh-CN"/>
        </w:rPr>
      </w:pP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5</w:t>
      </w:r>
      <w:r>
        <w:rPr>
          <w:rFonts w:hint="eastAsia" w:ascii="仿宋" w:hAnsi="仿宋" w:eastAsia="仿宋" w:cs="Times New Roman"/>
          <w:sz w:val="24"/>
          <w:szCs w:val="24"/>
          <w:lang w:eastAsia="zh-CN"/>
        </w:rPr>
        <w:t>）</w:t>
      </w:r>
      <w:r>
        <w:rPr>
          <w:rFonts w:hint="eastAsia" w:ascii="仿宋" w:hAnsi="仿宋" w:eastAsia="仿宋" w:cs="Times New Roman"/>
          <w:sz w:val="24"/>
          <w:szCs w:val="24"/>
        </w:rPr>
        <w:t>科研机构与高校</w:t>
      </w:r>
      <w:r>
        <w:rPr>
          <w:rFonts w:hint="eastAsia" w:ascii="仿宋" w:hAnsi="仿宋" w:eastAsia="仿宋" w:cs="Times New Roman"/>
          <w:sz w:val="24"/>
          <w:szCs w:val="24"/>
          <w:lang w:eastAsia="zh-CN"/>
        </w:rPr>
        <w:t>：</w:t>
      </w:r>
      <w:r>
        <w:rPr>
          <w:rFonts w:hint="eastAsia" w:ascii="仿宋" w:hAnsi="仿宋" w:eastAsia="仿宋" w:cs="Times New Roman"/>
          <w:sz w:val="24"/>
          <w:szCs w:val="24"/>
        </w:rPr>
        <w:t>参与标准制定的技术支持，如湖南</w:t>
      </w:r>
      <w:r>
        <w:rPr>
          <w:rFonts w:hint="eastAsia" w:ascii="仿宋" w:hAnsi="仿宋" w:eastAsia="仿宋" w:cs="Times New Roman"/>
          <w:sz w:val="24"/>
          <w:szCs w:val="24"/>
          <w:lang w:val="en-US" w:eastAsia="zh-CN"/>
        </w:rPr>
        <w:t>省食用菌研究所</w:t>
      </w:r>
      <w:r>
        <w:rPr>
          <w:rFonts w:hint="eastAsia" w:ascii="仿宋" w:hAnsi="仿宋" w:eastAsia="仿宋" w:cs="Times New Roman"/>
          <w:sz w:val="24"/>
          <w:szCs w:val="24"/>
        </w:rPr>
        <w:t>、</w:t>
      </w:r>
      <w:r>
        <w:rPr>
          <w:rFonts w:hint="eastAsia" w:ascii="仿宋" w:hAnsi="仿宋" w:eastAsia="仿宋" w:cs="Times New Roman"/>
          <w:sz w:val="24"/>
          <w:szCs w:val="24"/>
          <w:lang w:val="en-US" w:eastAsia="zh-CN"/>
        </w:rPr>
        <w:t>昆明食用菌研究所</w:t>
      </w:r>
      <w:r>
        <w:rPr>
          <w:rFonts w:hint="eastAsia" w:ascii="仿宋" w:hAnsi="仿宋" w:eastAsia="仿宋" w:cs="Times New Roman"/>
          <w:sz w:val="24"/>
          <w:szCs w:val="24"/>
        </w:rPr>
        <w:t>等提供提取工艺优化方案。同时，标准实施可能推动产学研合作，促进科技成果转化</w:t>
      </w:r>
      <w:r>
        <w:rPr>
          <w:rFonts w:hint="eastAsia" w:ascii="仿宋" w:hAnsi="仿宋" w:eastAsia="仿宋" w:cs="Times New Roman"/>
          <w:sz w:val="24"/>
          <w:szCs w:val="24"/>
          <w:lang w:eastAsia="zh-CN"/>
        </w:rPr>
        <w:t>。</w:t>
      </w:r>
    </w:p>
    <w:p w14:paraId="4635B11B">
      <w:pPr>
        <w:spacing w:line="360" w:lineRule="auto"/>
        <w:ind w:firstLine="480" w:firstLineChars="200"/>
        <w:jc w:val="both"/>
        <w:rPr>
          <w:rFonts w:hint="eastAsia" w:ascii="仿宋" w:hAnsi="仿宋" w:eastAsia="仿宋" w:cs="Times New Roman"/>
          <w:sz w:val="24"/>
          <w:szCs w:val="24"/>
        </w:rPr>
      </w:pP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6</w:t>
      </w:r>
      <w:r>
        <w:rPr>
          <w:rFonts w:hint="eastAsia" w:ascii="仿宋" w:hAnsi="仿宋" w:eastAsia="仿宋" w:cs="Times New Roman"/>
          <w:sz w:val="24"/>
          <w:szCs w:val="24"/>
          <w:lang w:eastAsia="zh-CN"/>
        </w:rPr>
        <w:t>）</w:t>
      </w:r>
      <w:r>
        <w:rPr>
          <w:rFonts w:hint="eastAsia" w:ascii="仿宋" w:hAnsi="仿宋" w:eastAsia="仿宋" w:cs="Times New Roman"/>
          <w:sz w:val="24"/>
          <w:szCs w:val="24"/>
        </w:rPr>
        <w:t>消费者与下游产业</w:t>
      </w:r>
      <w:r>
        <w:rPr>
          <w:rFonts w:hint="eastAsia" w:ascii="仿宋" w:hAnsi="仿宋" w:eastAsia="仿宋" w:cs="Times New Roman"/>
          <w:sz w:val="24"/>
          <w:szCs w:val="24"/>
          <w:lang w:eastAsia="zh-CN"/>
        </w:rPr>
        <w:t>：</w:t>
      </w:r>
      <w:r>
        <w:rPr>
          <w:rFonts w:hint="eastAsia" w:ascii="仿宋" w:hAnsi="仿宋" w:eastAsia="仿宋" w:cs="Times New Roman"/>
          <w:sz w:val="24"/>
          <w:szCs w:val="24"/>
        </w:rPr>
        <w:t>标准实施可提升产品质量和安全性，增强消费信任。例如</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多糖含量测定参照行标《食用菌多糖》中的检测方法，排除了低聚糖的影响</w:t>
      </w:r>
      <w:r>
        <w:rPr>
          <w:rFonts w:hint="eastAsia" w:ascii="仿宋" w:hAnsi="仿宋" w:eastAsia="仿宋" w:cs="Times New Roman"/>
          <w:sz w:val="24"/>
          <w:szCs w:val="24"/>
        </w:rPr>
        <w:t>。制药、保健品、化妆品企业依赖蛹虫草多糖作为原料，标准影响供应链稳定性</w:t>
      </w:r>
      <w:r>
        <w:rPr>
          <w:rFonts w:hint="eastAsia" w:ascii="仿宋" w:hAnsi="仿宋" w:eastAsia="仿宋" w:cs="Times New Roman"/>
          <w:sz w:val="24"/>
          <w:szCs w:val="24"/>
          <w:lang w:eastAsia="zh-CN"/>
        </w:rPr>
        <w:t>，</w:t>
      </w:r>
      <w:r>
        <w:rPr>
          <w:rFonts w:hint="eastAsia" w:ascii="仿宋" w:hAnsi="仿宋" w:eastAsia="仿宋" w:cs="Times New Roman"/>
          <w:sz w:val="24"/>
          <w:szCs w:val="24"/>
        </w:rPr>
        <w:t>例如，虫草多糖在降糖药物和抗衰护肤品中的应用需原料符合特定活性要求。</w:t>
      </w:r>
    </w:p>
    <w:p w14:paraId="39F3948C">
      <w:pPr>
        <w:spacing w:line="360" w:lineRule="auto"/>
        <w:ind w:firstLine="480" w:firstLineChars="200"/>
        <w:jc w:val="both"/>
        <w:rPr>
          <w:rFonts w:hint="eastAsia" w:ascii="仿宋" w:hAnsi="仿宋" w:eastAsia="仿宋" w:cs="Times New Roman"/>
          <w:sz w:val="24"/>
          <w:szCs w:val="24"/>
          <w:lang w:val="en-US" w:eastAsia="zh-CN"/>
        </w:rPr>
      </w:pP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7</w:t>
      </w:r>
      <w:r>
        <w:rPr>
          <w:rFonts w:hint="eastAsia" w:ascii="仿宋" w:hAnsi="仿宋" w:eastAsia="仿宋" w:cs="Times New Roman"/>
          <w:sz w:val="24"/>
          <w:szCs w:val="24"/>
          <w:lang w:eastAsia="zh-CN"/>
        </w:rPr>
        <w:t>）</w:t>
      </w:r>
      <w:r>
        <w:rPr>
          <w:rFonts w:hint="eastAsia" w:ascii="仿宋" w:hAnsi="仿宋" w:eastAsia="仿宋" w:cs="Times New Roman"/>
          <w:sz w:val="24"/>
          <w:szCs w:val="24"/>
        </w:rPr>
        <w:t>国际市场与贸易相关方</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我国是提取物出口的主要企业，</w:t>
      </w:r>
      <w:r>
        <w:rPr>
          <w:rFonts w:hint="eastAsia" w:ascii="仿宋" w:hAnsi="仿宋" w:eastAsia="仿宋" w:cs="Times New Roman"/>
          <w:sz w:val="24"/>
          <w:szCs w:val="24"/>
        </w:rPr>
        <w:t>需关注国际标准差异</w:t>
      </w:r>
      <w:r>
        <w:rPr>
          <w:rFonts w:hint="eastAsia" w:ascii="仿宋" w:hAnsi="仿宋" w:eastAsia="仿宋" w:cs="Times New Roman"/>
          <w:sz w:val="24"/>
          <w:szCs w:val="24"/>
          <w:lang w:eastAsia="zh-CN"/>
        </w:rPr>
        <w:t>，</w:t>
      </w:r>
      <w:r>
        <w:rPr>
          <w:rFonts w:hint="eastAsia" w:ascii="仿宋" w:hAnsi="仿宋" w:eastAsia="仿宋" w:cs="Times New Roman"/>
          <w:sz w:val="24"/>
          <w:szCs w:val="24"/>
        </w:rPr>
        <w:t>例如，USP</w:t>
      </w:r>
      <w:r>
        <w:rPr>
          <w:rFonts w:hint="eastAsia" w:ascii="仿宋" w:hAnsi="仿宋" w:eastAsia="仿宋" w:cs="Times New Roman"/>
          <w:sz w:val="24"/>
          <w:szCs w:val="24"/>
          <w:lang w:eastAsia="zh-CN"/>
        </w:rPr>
        <w:t>（</w:t>
      </w:r>
      <w:r>
        <w:rPr>
          <w:rFonts w:hint="eastAsia" w:ascii="仿宋" w:hAnsi="仿宋" w:eastAsia="仿宋" w:cs="Times New Roman"/>
          <w:sz w:val="24"/>
          <w:szCs w:val="24"/>
        </w:rPr>
        <w:t>美国药典协会</w:t>
      </w:r>
      <w:r>
        <w:rPr>
          <w:rFonts w:hint="eastAsia" w:ascii="仿宋" w:hAnsi="仿宋" w:eastAsia="仿宋" w:cs="Times New Roman"/>
          <w:sz w:val="24"/>
          <w:szCs w:val="24"/>
          <w:lang w:eastAsia="zh-CN"/>
        </w:rPr>
        <w:t>）</w:t>
      </w:r>
      <w:r>
        <w:rPr>
          <w:rFonts w:hint="eastAsia" w:ascii="仿宋" w:hAnsi="仿宋" w:eastAsia="仿宋" w:cs="Times New Roman"/>
          <w:sz w:val="24"/>
          <w:szCs w:val="24"/>
        </w:rPr>
        <w:t>对重金属（Pb≤3mg/kg）和微生物（TAMC≤10³ CFU/g）的要求更严格，可能增加出口成本。若标准与国际接轨，可提升国际竞争力</w:t>
      </w:r>
      <w:r>
        <w:rPr>
          <w:rFonts w:hint="eastAsia" w:ascii="仿宋" w:hAnsi="仿宋" w:eastAsia="仿宋" w:cs="Times New Roman"/>
          <w:sz w:val="24"/>
          <w:szCs w:val="24"/>
          <w:lang w:eastAsia="zh-CN"/>
        </w:rPr>
        <w:t>，</w:t>
      </w:r>
      <w:r>
        <w:rPr>
          <w:rFonts w:hint="eastAsia" w:ascii="仿宋" w:hAnsi="仿宋" w:eastAsia="仿宋" w:cs="Times New Roman"/>
          <w:sz w:val="24"/>
          <w:szCs w:val="24"/>
        </w:rPr>
        <w:t>如欧盟可能将蛹虫草列为新资源食品，需符合其准入标准</w:t>
      </w:r>
      <w:bookmarkStart w:id="14" w:name="_GoBack"/>
      <w:bookmarkEnd w:id="14"/>
      <w:r>
        <w:rPr>
          <w:rFonts w:hint="eastAsia" w:ascii="仿宋" w:hAnsi="仿宋" w:eastAsia="仿宋" w:cs="Times New Roman"/>
          <w:sz w:val="24"/>
          <w:szCs w:val="24"/>
        </w:rPr>
        <w:t>。</w:t>
      </w:r>
    </w:p>
    <w:p w14:paraId="71268A3A">
      <w:pPr>
        <w:spacing w:line="360" w:lineRule="auto"/>
        <w:rPr>
          <w:rFonts w:hint="eastAsia" w:ascii="黑体" w:hAnsi="黑体" w:eastAsia="黑体"/>
          <w:sz w:val="24"/>
          <w:szCs w:val="24"/>
        </w:rPr>
      </w:pPr>
    </w:p>
    <w:p w14:paraId="7DE9CD81">
      <w:pPr>
        <w:spacing w:line="360" w:lineRule="auto"/>
        <w:rPr>
          <w:rFonts w:hint="eastAsia" w:ascii="黑体" w:hAnsi="黑体" w:eastAsia="黑体"/>
          <w:sz w:val="24"/>
          <w:szCs w:val="24"/>
        </w:rPr>
      </w:pPr>
    </w:p>
    <w:p w14:paraId="545AFE88">
      <w:pPr>
        <w:spacing w:line="360" w:lineRule="auto"/>
        <w:rPr>
          <w:rFonts w:hint="eastAsia" w:ascii="黑体" w:hAnsi="黑体" w:eastAsia="黑体"/>
          <w:sz w:val="24"/>
          <w:szCs w:val="24"/>
        </w:rPr>
      </w:pPr>
    </w:p>
    <w:p w14:paraId="3E0E496B">
      <w:pPr>
        <w:spacing w:line="360" w:lineRule="auto"/>
        <w:rPr>
          <w:rFonts w:hint="eastAsia" w:ascii="黑体" w:hAnsi="黑体" w:eastAsia="黑体"/>
          <w:sz w:val="24"/>
          <w:szCs w:val="24"/>
        </w:rPr>
      </w:pPr>
    </w:p>
    <w:p w14:paraId="3BB52A1A">
      <w:pPr>
        <w:numPr>
          <w:ilvl w:val="0"/>
          <w:numId w:val="0"/>
        </w:numPr>
        <w:spacing w:line="360" w:lineRule="auto"/>
        <w:rPr>
          <w:rFonts w:hint="eastAsia" w:ascii="黑体" w:hAnsi="黑体" w:eastAsia="黑体"/>
          <w:sz w:val="24"/>
          <w:szCs w:val="24"/>
        </w:rPr>
      </w:pPr>
    </w:p>
    <w:sectPr>
      <w:footerReference r:id="rId7" w:type="default"/>
      <w:pgSz w:w="11907" w:h="16839"/>
      <w:pgMar w:top="1701" w:right="1531" w:bottom="1134" w:left="1531" w:header="0" w:footer="0" w:gutter="0"/>
      <w:pgNumType w:fmt="numberInDash"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08613CC-1586-4935-8837-7E2B00EC5671}"/>
  </w:font>
  <w:font w:name="黑体">
    <w:panose1 w:val="02010609060101010101"/>
    <w:charset w:val="86"/>
    <w:family w:val="auto"/>
    <w:pitch w:val="default"/>
    <w:sig w:usb0="800002BF" w:usb1="38CF7CFA" w:usb2="00000016" w:usb3="00000000" w:csb0="00040001" w:csb1="00000000"/>
    <w:embedRegular r:id="rId2" w:fontKey="{6B24C16C-95EB-4974-B6D4-4E15D22EE6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embedRegular r:id="rId3" w:fontKey="{0D572395-AB28-4220-A716-F3B7B13E7D00}"/>
  </w:font>
  <w:font w:name="仿宋">
    <w:panose1 w:val="02010609060101010101"/>
    <w:charset w:val="86"/>
    <w:family w:val="auto"/>
    <w:pitch w:val="default"/>
    <w:sig w:usb0="800002BF" w:usb1="38CF7CFA" w:usb2="00000016" w:usb3="00000000" w:csb0="00040001" w:csb1="00000000"/>
    <w:embedRegular r:id="rId4" w:fontKey="{EE3DDF9E-A71B-4BF0-9F24-D56E4819A778}"/>
  </w:font>
  <w:font w:name="标准粗黑">
    <w:panose1 w:val="02000503000000000000"/>
    <w:charset w:val="86"/>
    <w:family w:val="auto"/>
    <w:pitch w:val="default"/>
    <w:sig w:usb0="8000002F" w:usb1="084164FA" w:usb2="00000012" w:usb3="00000000" w:csb0="00040001" w:csb1="00000000"/>
    <w:embedRegular r:id="rId5" w:fontKey="{ED5D5CE2-3DAA-40C6-A66C-494D109348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E69E2">
    <w:pPr>
      <w:spacing w:line="223" w:lineRule="auto"/>
      <w:ind w:left="4099"/>
      <w:rPr>
        <w:rFonts w:ascii="Times New Roman" w:hAnsi="Times New Roman" w:eastAsia="Times New Roman"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6916D">
    <w:pPr>
      <w:spacing w:line="223" w:lineRule="auto"/>
      <w:ind w:left="409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A3E499">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EA3E499">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51540">
    <w:pPr>
      <w:pStyle w:val="5"/>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14DBEB"/>
    <w:multiLevelType w:val="singleLevel"/>
    <w:tmpl w:val="EB14DBEB"/>
    <w:lvl w:ilvl="0" w:tentative="0">
      <w:start w:val="3"/>
      <w:numFmt w:val="chineseCounting"/>
      <w:suff w:val="nothing"/>
      <w:lvlText w:val="%1、"/>
      <w:lvlJc w:val="left"/>
      <w:rPr>
        <w:rFonts w:hint="eastAsia"/>
      </w:rPr>
    </w:lvl>
  </w:abstractNum>
  <w:abstractNum w:abstractNumId="1">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pStyle w:val="19"/>
      <w:suff w:val="nothing"/>
      <w:lvlText w:val="%1%2　"/>
      <w:lvlJc w:val="left"/>
      <w:pPr>
        <w:ind w:left="0" w:firstLine="0"/>
      </w:pPr>
      <w:rPr>
        <w:rFonts w:hint="eastAsia" w:ascii="黑体" w:eastAsia="黑体"/>
        <w:b w:val="0"/>
        <w:i w:val="0"/>
        <w:color w:val="auto"/>
        <w:sz w:val="21"/>
      </w:rPr>
    </w:lvl>
    <w:lvl w:ilvl="2" w:tentative="0">
      <w:start w:val="1"/>
      <w:numFmt w:val="decimal"/>
      <w:suff w:val="nothing"/>
      <w:lvlText w:val="%1%2.%3　"/>
      <w:lvlJc w:val="left"/>
      <w:pPr>
        <w:ind w:left="1418"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44A30F0"/>
    <w:rsid w:val="05D610DF"/>
    <w:rsid w:val="06F32D0F"/>
    <w:rsid w:val="0D92728D"/>
    <w:rsid w:val="0DB60346"/>
    <w:rsid w:val="0DD056A4"/>
    <w:rsid w:val="0F630D35"/>
    <w:rsid w:val="10004ADD"/>
    <w:rsid w:val="11606A5E"/>
    <w:rsid w:val="18BB0D93"/>
    <w:rsid w:val="1BE32E27"/>
    <w:rsid w:val="226002D5"/>
    <w:rsid w:val="259F271D"/>
    <w:rsid w:val="261268EF"/>
    <w:rsid w:val="28777A4A"/>
    <w:rsid w:val="2A7C3754"/>
    <w:rsid w:val="30EA24CC"/>
    <w:rsid w:val="31ED442A"/>
    <w:rsid w:val="32852EA0"/>
    <w:rsid w:val="33292437"/>
    <w:rsid w:val="3522358D"/>
    <w:rsid w:val="3AAC7491"/>
    <w:rsid w:val="3B411D80"/>
    <w:rsid w:val="3BBC60A6"/>
    <w:rsid w:val="3C505539"/>
    <w:rsid w:val="3CA6419E"/>
    <w:rsid w:val="3D0B7936"/>
    <w:rsid w:val="3DFF671E"/>
    <w:rsid w:val="3E2D20F4"/>
    <w:rsid w:val="402045DC"/>
    <w:rsid w:val="424830B5"/>
    <w:rsid w:val="42DE55C2"/>
    <w:rsid w:val="438F22F2"/>
    <w:rsid w:val="43974BCB"/>
    <w:rsid w:val="44F27CD4"/>
    <w:rsid w:val="487E46E3"/>
    <w:rsid w:val="4D361A4D"/>
    <w:rsid w:val="50C22262"/>
    <w:rsid w:val="52662470"/>
    <w:rsid w:val="5951752F"/>
    <w:rsid w:val="5BB8419C"/>
    <w:rsid w:val="5C545D9C"/>
    <w:rsid w:val="5E2A5398"/>
    <w:rsid w:val="5FC609F2"/>
    <w:rsid w:val="65D444CF"/>
    <w:rsid w:val="69C17D83"/>
    <w:rsid w:val="6AC10733"/>
    <w:rsid w:val="6B2D793D"/>
    <w:rsid w:val="6B86601F"/>
    <w:rsid w:val="6D9335D5"/>
    <w:rsid w:val="726A4F49"/>
    <w:rsid w:val="765E7A97"/>
    <w:rsid w:val="7AC953E2"/>
    <w:rsid w:val="7BAF0AB3"/>
    <w:rsid w:val="7C6A7D1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semiHidden/>
    <w:qFormat/>
    <w:uiPriority w:val="0"/>
    <w:rPr>
      <w:rFonts w:ascii="Arial" w:hAnsi="Arial" w:eastAsia="Arial" w:cs="Arial"/>
      <w:sz w:val="21"/>
      <w:szCs w:val="21"/>
      <w:lang w:val="en-US" w:eastAsia="en-US" w:bidi="ar-SA"/>
    </w:r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qFormat/>
    <w:uiPriority w:val="0"/>
    <w:rPr>
      <w:color w:val="0000FF"/>
      <w:u w:val="single"/>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Table Text"/>
    <w:basedOn w:val="1"/>
    <w:semiHidden/>
    <w:qFormat/>
    <w:uiPriority w:val="0"/>
    <w:rPr>
      <w:rFonts w:ascii="Arial" w:hAnsi="Arial" w:eastAsia="Arial" w:cs="Arial"/>
      <w:sz w:val="21"/>
      <w:szCs w:val="21"/>
      <w:lang w:val="en-US" w:eastAsia="en-US" w:bidi="ar-SA"/>
    </w:rPr>
  </w:style>
  <w:style w:type="paragraph" w:customStyle="1" w:styleId="17">
    <w:name w:val="List Paragraph"/>
    <w:basedOn w:val="1"/>
    <w:qFormat/>
    <w:uiPriority w:val="0"/>
    <w:pPr>
      <w:ind w:firstLine="420" w:firstLineChars="200"/>
    </w:pPr>
    <w:rPr>
      <w:rFonts w:ascii="Calibri" w:hAnsi="Calibri"/>
      <w:szCs w:val="22"/>
    </w:rPr>
  </w:style>
  <w:style w:type="paragraph" w:customStyle="1" w:styleId="18">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
    <w:name w:val="标准文件_章标题"/>
    <w:next w:val="18"/>
    <w:qFormat/>
    <w:uiPriority w:val="0"/>
    <w:pPr>
      <w:numPr>
        <w:ilvl w:val="1"/>
        <w:numId w:val="1"/>
      </w:numPr>
      <w:spacing w:before="100" w:beforeLines="100" w:after="100" w:afterLines="100"/>
      <w:jc w:val="both"/>
      <w:outlineLvl w:val="0"/>
    </w:pPr>
    <w:rPr>
      <w:rFonts w:ascii="黑体" w:hAnsi="Times New Roman" w:eastAsia="黑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24</Pages>
  <Words>11717</Words>
  <Characters>12841</Characters>
  <TotalTime>7</TotalTime>
  <ScaleCrop>false</ScaleCrop>
  <LinksUpToDate>false</LinksUpToDate>
  <CharactersWithSpaces>13036</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2025-11-20T16:00:00Z</dcterms:created>
  <dc:creator>huang</dc:creator>
  <cp:lastModifiedBy>黄晓辉</cp:lastModifiedBy>
  <dcterms:modified xsi:type="dcterms:W3CDTF">2026-05-07T00:32:12Z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2025-11-20T16:01:45Z</vt:filetime>
  </property>
  <property fmtid="{D5CDD505-2E9C-101B-9397-08002B2CF9AE}" pid="4" name="KSOTemplateDocerSaveRecord">
    <vt:lpwstr>eyJoZGlkIjoiMzEwNTM5NzYwMDRjMzkwZTVkZjY2ODkwMGIxNGU0OTUiLCJ1c2VySWQiOiIyNzM5ODUwOTIifQ==</vt:lpwstr>
  </property>
  <property fmtid="{D5CDD505-2E9C-101B-9397-08002B2CF9AE}" pid="5" name="KSOProductBuildVer">
    <vt:lpwstr>2052-12.1.0.25865</vt:lpwstr>
  </property>
  <property fmtid="{D5CDD505-2E9C-101B-9397-08002B2CF9AE}" pid="6" name="ICV">
    <vt:lpwstr>DAF2F7B801624F8DA5F4C1BCADB65F0D_12</vt:lpwstr>
  </property>
</Properties>
</file>